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4C8B0" w14:textId="77777777" w:rsidR="002D5A5E" w:rsidRPr="00C10035" w:rsidRDefault="002D5A5E" w:rsidP="002D5A5E">
      <w:pPr>
        <w:spacing w:after="0" w:line="240" w:lineRule="auto"/>
        <w:rPr>
          <w:rFonts w:ascii="Arial" w:hAnsi="Arial" w:cs="Arial"/>
          <w:sz w:val="20"/>
          <w:szCs w:val="20"/>
        </w:rPr>
      </w:pPr>
    </w:p>
    <w:p w14:paraId="594CB183" w14:textId="77777777" w:rsidR="002D5A5E" w:rsidRPr="00301C7B" w:rsidRDefault="002D5A5E" w:rsidP="002D5A5E">
      <w:pPr>
        <w:spacing w:after="0" w:line="240" w:lineRule="auto"/>
        <w:rPr>
          <w:rFonts w:ascii="Arial" w:hAnsi="Arial" w:cs="Arial"/>
          <w:sz w:val="20"/>
          <w:szCs w:val="20"/>
        </w:rPr>
      </w:pPr>
      <w:r w:rsidRPr="00301C7B">
        <w:rPr>
          <w:rFonts w:ascii="Arial" w:hAnsi="Arial" w:cs="Arial"/>
          <w:sz w:val="20"/>
          <w:szCs w:val="20"/>
        </w:rPr>
        <w:t>Financial Conduct Authority</w:t>
      </w:r>
    </w:p>
    <w:p w14:paraId="6E42E101" w14:textId="77777777" w:rsidR="002D5A5E" w:rsidRPr="00301C7B" w:rsidRDefault="002D5A5E" w:rsidP="002D5A5E">
      <w:pPr>
        <w:spacing w:after="0" w:line="240" w:lineRule="auto"/>
        <w:rPr>
          <w:rFonts w:ascii="Arial" w:hAnsi="Arial" w:cs="Arial"/>
          <w:sz w:val="20"/>
          <w:szCs w:val="20"/>
        </w:rPr>
      </w:pPr>
      <w:r w:rsidRPr="00301C7B">
        <w:rPr>
          <w:rFonts w:ascii="Arial" w:hAnsi="Arial" w:cs="Arial"/>
          <w:sz w:val="20"/>
          <w:szCs w:val="20"/>
        </w:rPr>
        <w:t>12 Endeavour Square</w:t>
      </w:r>
    </w:p>
    <w:p w14:paraId="16BECB37" w14:textId="77777777" w:rsidR="002D5A5E" w:rsidRPr="00301C7B" w:rsidRDefault="002D5A5E" w:rsidP="002D5A5E">
      <w:pPr>
        <w:spacing w:after="0" w:line="240" w:lineRule="auto"/>
        <w:rPr>
          <w:rFonts w:ascii="Arial" w:hAnsi="Arial" w:cs="Arial"/>
          <w:sz w:val="20"/>
          <w:szCs w:val="20"/>
        </w:rPr>
      </w:pPr>
      <w:r w:rsidRPr="00301C7B">
        <w:rPr>
          <w:rFonts w:ascii="Arial" w:hAnsi="Arial" w:cs="Arial"/>
          <w:sz w:val="20"/>
          <w:szCs w:val="20"/>
        </w:rPr>
        <w:t>London E20 1JN</w:t>
      </w:r>
    </w:p>
    <w:p w14:paraId="3086CD88" w14:textId="77777777" w:rsidR="002D5A5E" w:rsidRPr="00301C7B" w:rsidRDefault="002D5A5E" w:rsidP="002D5A5E">
      <w:pPr>
        <w:spacing w:line="240" w:lineRule="auto"/>
        <w:rPr>
          <w:rFonts w:ascii="Arial" w:hAnsi="Arial" w:cs="Arial"/>
          <w:sz w:val="20"/>
          <w:szCs w:val="20"/>
        </w:rPr>
      </w:pPr>
    </w:p>
    <w:p w14:paraId="3E8797FF" w14:textId="3EBE7B73" w:rsidR="002D5A5E" w:rsidRPr="00301C7B" w:rsidRDefault="002D5A5E" w:rsidP="002D5A5E">
      <w:pPr>
        <w:pStyle w:val="Default"/>
        <w:spacing w:after="160"/>
        <w:rPr>
          <w:rFonts w:ascii="Arial" w:hAnsi="Arial" w:cs="Arial"/>
          <w:sz w:val="20"/>
          <w:szCs w:val="20"/>
        </w:rPr>
      </w:pPr>
      <w:r w:rsidRPr="00301C7B">
        <w:rPr>
          <w:rFonts w:ascii="Arial" w:hAnsi="Arial" w:cs="Arial"/>
          <w:sz w:val="20"/>
          <w:szCs w:val="20"/>
        </w:rPr>
        <w:t xml:space="preserve">Response by email to </w:t>
      </w:r>
      <w:hyperlink r:id="rId11" w:history="1">
        <w:r w:rsidR="00AA0809" w:rsidRPr="00D505E9">
          <w:rPr>
            <w:rStyle w:val="Hyperlink"/>
            <w:rFonts w:ascii="Arial" w:hAnsi="Arial" w:cs="Arial"/>
            <w:sz w:val="20"/>
            <w:szCs w:val="20"/>
          </w:rPr>
          <w:t>ps237@fca.org.uk</w:t>
        </w:r>
      </w:hyperlink>
      <w:r w:rsidR="000024B6" w:rsidRPr="00301C7B">
        <w:rPr>
          <w:rFonts w:ascii="Arial" w:hAnsi="Arial" w:cs="Arial"/>
          <w:sz w:val="20"/>
          <w:szCs w:val="20"/>
        </w:rPr>
        <w:t xml:space="preserve"> </w:t>
      </w:r>
    </w:p>
    <w:p w14:paraId="72DEF750" w14:textId="77777777" w:rsidR="002D5A5E" w:rsidRPr="00301C7B" w:rsidRDefault="002D5A5E" w:rsidP="002D5A5E">
      <w:pPr>
        <w:pStyle w:val="Default"/>
        <w:spacing w:after="160"/>
        <w:rPr>
          <w:rFonts w:ascii="Arial" w:hAnsi="Arial" w:cs="Arial"/>
          <w:sz w:val="20"/>
          <w:szCs w:val="20"/>
        </w:rPr>
      </w:pPr>
    </w:p>
    <w:p w14:paraId="6EC2A48E" w14:textId="397C16C3" w:rsidR="002D5A5E" w:rsidRPr="00301C7B" w:rsidRDefault="000024B6" w:rsidP="002D5A5E">
      <w:pPr>
        <w:spacing w:line="240" w:lineRule="auto"/>
        <w:rPr>
          <w:rFonts w:ascii="Arial" w:hAnsi="Arial" w:cs="Arial"/>
          <w:sz w:val="20"/>
          <w:szCs w:val="20"/>
        </w:rPr>
      </w:pPr>
      <w:r w:rsidRPr="00301C7B">
        <w:rPr>
          <w:rFonts w:ascii="Arial" w:hAnsi="Arial" w:cs="Arial"/>
          <w:sz w:val="20"/>
          <w:szCs w:val="20"/>
        </w:rPr>
        <w:t xml:space="preserve">10 </w:t>
      </w:r>
      <w:r w:rsidR="00AA0809">
        <w:rPr>
          <w:rFonts w:ascii="Arial" w:hAnsi="Arial" w:cs="Arial"/>
          <w:sz w:val="20"/>
          <w:szCs w:val="20"/>
        </w:rPr>
        <w:t>August 2023</w:t>
      </w:r>
    </w:p>
    <w:p w14:paraId="3C2FDC63" w14:textId="77777777" w:rsidR="002D5A5E" w:rsidRPr="00C10035" w:rsidRDefault="002D5A5E" w:rsidP="002D5A5E">
      <w:pPr>
        <w:spacing w:line="240" w:lineRule="auto"/>
        <w:rPr>
          <w:rFonts w:ascii="Arial" w:hAnsi="Arial" w:cs="Arial"/>
          <w:sz w:val="20"/>
          <w:szCs w:val="20"/>
        </w:rPr>
      </w:pPr>
    </w:p>
    <w:p w14:paraId="1326A519" w14:textId="50857702" w:rsidR="002D5A5E" w:rsidRPr="00C10035" w:rsidRDefault="002D5A5E" w:rsidP="002155F0">
      <w:pPr>
        <w:pStyle w:val="Heading1"/>
        <w:spacing w:after="160" w:line="240" w:lineRule="auto"/>
        <w:rPr>
          <w:rFonts w:ascii="Arial" w:hAnsi="Arial" w:cs="Arial"/>
          <w:color w:val="169FDB"/>
          <w:sz w:val="20"/>
          <w:szCs w:val="20"/>
        </w:rPr>
      </w:pPr>
      <w:r w:rsidRPr="00C10035">
        <w:rPr>
          <w:rFonts w:ascii="Arial" w:hAnsi="Arial" w:cs="Arial"/>
          <w:color w:val="169FDB"/>
          <w:sz w:val="20"/>
          <w:szCs w:val="20"/>
        </w:rPr>
        <w:t xml:space="preserve">Response to </w:t>
      </w:r>
      <w:bookmarkStart w:id="0" w:name="_Hlk141794592"/>
      <w:r w:rsidRPr="00C10035">
        <w:rPr>
          <w:rFonts w:ascii="Arial" w:hAnsi="Arial" w:cs="Arial"/>
          <w:color w:val="169FDB"/>
          <w:sz w:val="20"/>
          <w:szCs w:val="20"/>
        </w:rPr>
        <w:t xml:space="preserve">FCA </w:t>
      </w:r>
      <w:r w:rsidR="00AA0809">
        <w:rPr>
          <w:rFonts w:ascii="Arial" w:hAnsi="Arial" w:cs="Arial"/>
          <w:color w:val="169FDB"/>
          <w:sz w:val="20"/>
          <w:szCs w:val="20"/>
        </w:rPr>
        <w:t>PS23/7</w:t>
      </w:r>
      <w:bookmarkEnd w:id="0"/>
      <w:r w:rsidRPr="00C10035">
        <w:rPr>
          <w:rFonts w:ascii="Arial" w:hAnsi="Arial" w:cs="Arial"/>
          <w:color w:val="169FDB"/>
          <w:sz w:val="20"/>
          <w:szCs w:val="20"/>
        </w:rPr>
        <w:t xml:space="preserve"> </w:t>
      </w:r>
      <w:r w:rsidR="00835DAF" w:rsidRPr="00C10035">
        <w:rPr>
          <w:rFonts w:ascii="Arial" w:hAnsi="Arial" w:cs="Arial"/>
          <w:color w:val="169FDB"/>
          <w:sz w:val="20"/>
          <w:szCs w:val="20"/>
        </w:rPr>
        <w:t>Broadening</w:t>
      </w:r>
      <w:r w:rsidR="008F3498" w:rsidRPr="00C10035">
        <w:rPr>
          <w:rFonts w:ascii="Arial" w:hAnsi="Arial" w:cs="Arial"/>
          <w:color w:val="169FDB"/>
          <w:sz w:val="20"/>
          <w:szCs w:val="20"/>
        </w:rPr>
        <w:t xml:space="preserve"> retail access to the</w:t>
      </w:r>
      <w:r w:rsidRPr="00C10035">
        <w:rPr>
          <w:rFonts w:ascii="Arial" w:hAnsi="Arial" w:cs="Arial"/>
          <w:color w:val="169FDB"/>
          <w:sz w:val="20"/>
          <w:szCs w:val="20"/>
        </w:rPr>
        <w:t xml:space="preserve"> long</w:t>
      </w:r>
      <w:r w:rsidR="00460A14" w:rsidRPr="00C10035">
        <w:rPr>
          <w:rFonts w:ascii="Arial" w:hAnsi="Arial" w:cs="Arial"/>
          <w:color w:val="169FDB"/>
          <w:sz w:val="20"/>
          <w:szCs w:val="20"/>
        </w:rPr>
        <w:t>-</w:t>
      </w:r>
      <w:r w:rsidRPr="00C10035">
        <w:rPr>
          <w:rFonts w:ascii="Arial" w:hAnsi="Arial" w:cs="Arial"/>
          <w:color w:val="169FDB"/>
          <w:sz w:val="20"/>
          <w:szCs w:val="20"/>
        </w:rPr>
        <w:t>term asset</w:t>
      </w:r>
      <w:r w:rsidR="008F3498" w:rsidRPr="00C10035">
        <w:rPr>
          <w:rFonts w:ascii="Arial" w:hAnsi="Arial" w:cs="Arial"/>
          <w:color w:val="169FDB"/>
          <w:sz w:val="20"/>
          <w:szCs w:val="20"/>
        </w:rPr>
        <w:t xml:space="preserve"> fund</w:t>
      </w:r>
      <w:r w:rsidR="00AA0809">
        <w:rPr>
          <w:rFonts w:ascii="Arial" w:hAnsi="Arial" w:cs="Arial"/>
          <w:color w:val="169FDB"/>
          <w:sz w:val="20"/>
          <w:szCs w:val="20"/>
        </w:rPr>
        <w:t xml:space="preserve"> – Chapter 4: Access to the Financial Services Compensation Scheme</w:t>
      </w:r>
    </w:p>
    <w:p w14:paraId="75CEB3D9" w14:textId="6D766D26" w:rsidR="00D5043E" w:rsidRDefault="00212239" w:rsidP="002155F0">
      <w:pPr>
        <w:rPr>
          <w:rFonts w:ascii="Arial" w:hAnsi="Arial" w:cs="Arial"/>
          <w:sz w:val="20"/>
          <w:szCs w:val="20"/>
        </w:rPr>
      </w:pPr>
      <w:r w:rsidRPr="00301C7B">
        <w:rPr>
          <w:rFonts w:ascii="Arial" w:hAnsi="Arial" w:cs="Arial"/>
          <w:sz w:val="20"/>
          <w:szCs w:val="20"/>
        </w:rPr>
        <w:t>We, the Association of Real Estate Funds</w:t>
      </w:r>
      <w:r w:rsidRPr="00301C7B">
        <w:rPr>
          <w:rStyle w:val="FootnoteReference"/>
          <w:rFonts w:ascii="Arial" w:hAnsi="Arial" w:cs="Arial"/>
          <w:sz w:val="20"/>
          <w:szCs w:val="20"/>
        </w:rPr>
        <w:footnoteReference w:id="2"/>
      </w:r>
      <w:r w:rsidRPr="00301C7B">
        <w:rPr>
          <w:rFonts w:ascii="Arial" w:hAnsi="Arial" w:cs="Arial"/>
          <w:sz w:val="20"/>
          <w:szCs w:val="20"/>
        </w:rPr>
        <w:t xml:space="preserve"> (AREF),</w:t>
      </w:r>
      <w:r w:rsidR="00651044">
        <w:rPr>
          <w:rFonts w:ascii="Arial" w:hAnsi="Arial" w:cs="Arial"/>
          <w:sz w:val="20"/>
          <w:szCs w:val="20"/>
        </w:rPr>
        <w:t xml:space="preserve"> </w:t>
      </w:r>
      <w:r w:rsidR="00A665B2">
        <w:rPr>
          <w:rFonts w:ascii="Arial" w:hAnsi="Arial" w:cs="Arial"/>
          <w:sz w:val="20"/>
          <w:szCs w:val="20"/>
        </w:rPr>
        <w:t>do not support the FCA’s proposal</w:t>
      </w:r>
      <w:r w:rsidR="0047447B">
        <w:rPr>
          <w:rFonts w:ascii="Arial" w:hAnsi="Arial" w:cs="Arial"/>
          <w:sz w:val="20"/>
          <w:szCs w:val="20"/>
        </w:rPr>
        <w:t xml:space="preserve"> to not include </w:t>
      </w:r>
      <w:r w:rsidR="00CA3764">
        <w:rPr>
          <w:rFonts w:ascii="Arial" w:hAnsi="Arial" w:cs="Arial"/>
          <w:sz w:val="20"/>
          <w:szCs w:val="20"/>
        </w:rPr>
        <w:t>Long Term Asset Funds (LTAFs)</w:t>
      </w:r>
      <w:r w:rsidR="0047447B">
        <w:rPr>
          <w:rFonts w:ascii="Arial" w:hAnsi="Arial" w:cs="Arial"/>
          <w:sz w:val="20"/>
          <w:szCs w:val="20"/>
        </w:rPr>
        <w:t xml:space="preserve"> within the scope of the </w:t>
      </w:r>
      <w:r w:rsidR="0047447B" w:rsidRPr="0047447B">
        <w:rPr>
          <w:rFonts w:ascii="Arial" w:hAnsi="Arial" w:cs="Arial"/>
          <w:sz w:val="20"/>
          <w:szCs w:val="20"/>
        </w:rPr>
        <w:t>Financial Services Compensation Scheme</w:t>
      </w:r>
      <w:r w:rsidR="0047447B">
        <w:rPr>
          <w:rFonts w:ascii="Arial" w:hAnsi="Arial" w:cs="Arial"/>
          <w:sz w:val="20"/>
          <w:szCs w:val="20"/>
        </w:rPr>
        <w:t xml:space="preserve"> (FSCS).</w:t>
      </w:r>
    </w:p>
    <w:p w14:paraId="53841D62" w14:textId="458EE49F" w:rsidR="00D8747E" w:rsidRDefault="00D8747E" w:rsidP="00592387">
      <w:pPr>
        <w:rPr>
          <w:rFonts w:ascii="Arial" w:hAnsi="Arial" w:cs="Arial"/>
          <w:sz w:val="20"/>
          <w:szCs w:val="20"/>
        </w:rPr>
      </w:pPr>
      <w:r w:rsidRPr="00D8747E">
        <w:rPr>
          <w:rFonts w:ascii="Arial" w:hAnsi="Arial" w:cs="Arial"/>
          <w:sz w:val="20"/>
          <w:szCs w:val="20"/>
        </w:rPr>
        <w:t>We feel that solely excluding activities relating to the LTAF from the FSCS would result in dissuading retail investors from investing in LTAFs</w:t>
      </w:r>
      <w:r>
        <w:rPr>
          <w:rFonts w:ascii="Arial" w:hAnsi="Arial" w:cs="Arial"/>
          <w:sz w:val="20"/>
          <w:szCs w:val="20"/>
        </w:rPr>
        <w:t xml:space="preserve"> and advisers from offering them.</w:t>
      </w:r>
      <w:r w:rsidRPr="00D8747E">
        <w:rPr>
          <w:rFonts w:ascii="Arial" w:hAnsi="Arial" w:cs="Arial"/>
          <w:sz w:val="20"/>
          <w:szCs w:val="20"/>
        </w:rPr>
        <w:t xml:space="preserve"> This, in turn, could deter firms from launching LTAFs suitable for retail investors.</w:t>
      </w:r>
    </w:p>
    <w:p w14:paraId="1A54EE2A" w14:textId="6CAAB0C4" w:rsidR="00B962A9" w:rsidRDefault="00E562F9" w:rsidP="00592387">
      <w:pPr>
        <w:rPr>
          <w:rFonts w:ascii="Arial" w:hAnsi="Arial" w:cs="Arial"/>
          <w:sz w:val="20"/>
          <w:szCs w:val="20"/>
        </w:rPr>
      </w:pPr>
      <w:r>
        <w:rPr>
          <w:rFonts w:ascii="Arial" w:hAnsi="Arial" w:cs="Arial"/>
          <w:sz w:val="20"/>
          <w:szCs w:val="20"/>
        </w:rPr>
        <w:t>We</w:t>
      </w:r>
      <w:r w:rsidR="00834FBC">
        <w:rPr>
          <w:rFonts w:ascii="Arial" w:hAnsi="Arial" w:cs="Arial"/>
          <w:sz w:val="20"/>
          <w:szCs w:val="20"/>
        </w:rPr>
        <w:t xml:space="preserve"> note that c</w:t>
      </w:r>
      <w:r w:rsidR="00552A6A">
        <w:rPr>
          <w:rFonts w:ascii="Arial" w:hAnsi="Arial" w:cs="Arial"/>
          <w:sz w:val="20"/>
          <w:szCs w:val="20"/>
        </w:rPr>
        <w:t>o</w:t>
      </w:r>
      <w:r w:rsidR="00834FBC">
        <w:rPr>
          <w:rFonts w:ascii="Arial" w:hAnsi="Arial" w:cs="Arial"/>
          <w:sz w:val="20"/>
          <w:szCs w:val="20"/>
        </w:rPr>
        <w:t xml:space="preserve">mpensations schemes in other jurisdictions do not typically cover claims for investment advice. However, we do not see this as an argument for </w:t>
      </w:r>
      <w:r w:rsidR="00CF79C4">
        <w:rPr>
          <w:rFonts w:ascii="Arial" w:hAnsi="Arial" w:cs="Arial"/>
          <w:sz w:val="20"/>
          <w:szCs w:val="20"/>
        </w:rPr>
        <w:t xml:space="preserve">the </w:t>
      </w:r>
      <w:r w:rsidR="00552A6A">
        <w:rPr>
          <w:rFonts w:ascii="Arial" w:hAnsi="Arial" w:cs="Arial"/>
          <w:sz w:val="20"/>
          <w:szCs w:val="20"/>
        </w:rPr>
        <w:t>compensation scheme in the UK to follow suit.</w:t>
      </w:r>
      <w:r w:rsidR="00FE220C">
        <w:rPr>
          <w:rFonts w:ascii="Arial" w:hAnsi="Arial" w:cs="Arial"/>
          <w:sz w:val="20"/>
          <w:szCs w:val="20"/>
        </w:rPr>
        <w:t xml:space="preserve"> </w:t>
      </w:r>
      <w:r w:rsidR="00ED1B9F">
        <w:rPr>
          <w:rFonts w:ascii="Arial" w:hAnsi="Arial" w:cs="Arial"/>
          <w:sz w:val="20"/>
          <w:szCs w:val="20"/>
        </w:rPr>
        <w:t>The FSCS gives</w:t>
      </w:r>
      <w:r w:rsidR="004D7EFB">
        <w:rPr>
          <w:rFonts w:ascii="Arial" w:hAnsi="Arial" w:cs="Arial"/>
          <w:sz w:val="20"/>
          <w:szCs w:val="20"/>
        </w:rPr>
        <w:t xml:space="preserve"> consumers</w:t>
      </w:r>
      <w:r w:rsidR="004366AF">
        <w:rPr>
          <w:rFonts w:ascii="Arial" w:hAnsi="Arial" w:cs="Arial"/>
          <w:sz w:val="20"/>
          <w:szCs w:val="20"/>
        </w:rPr>
        <w:t>’</w:t>
      </w:r>
      <w:r w:rsidR="004D7EFB">
        <w:rPr>
          <w:rFonts w:ascii="Arial" w:hAnsi="Arial" w:cs="Arial"/>
          <w:sz w:val="20"/>
          <w:szCs w:val="20"/>
        </w:rPr>
        <w:t xml:space="preserve"> confiden</w:t>
      </w:r>
      <w:r w:rsidR="00B443C8">
        <w:rPr>
          <w:rFonts w:ascii="Arial" w:hAnsi="Arial" w:cs="Arial"/>
          <w:sz w:val="20"/>
          <w:szCs w:val="20"/>
        </w:rPr>
        <w:t xml:space="preserve">ce that </w:t>
      </w:r>
      <w:r w:rsidR="00DF0BCB">
        <w:rPr>
          <w:rFonts w:ascii="Arial" w:hAnsi="Arial" w:cs="Arial"/>
          <w:sz w:val="20"/>
          <w:szCs w:val="20"/>
        </w:rPr>
        <w:t>if a</w:t>
      </w:r>
      <w:r w:rsidR="00F404E0">
        <w:rPr>
          <w:rFonts w:ascii="Arial" w:hAnsi="Arial" w:cs="Arial"/>
          <w:sz w:val="20"/>
          <w:szCs w:val="20"/>
        </w:rPr>
        <w:t xml:space="preserve"> </w:t>
      </w:r>
      <w:r w:rsidR="00DF0BCB">
        <w:rPr>
          <w:rFonts w:ascii="Arial" w:hAnsi="Arial" w:cs="Arial"/>
          <w:sz w:val="20"/>
          <w:szCs w:val="20"/>
        </w:rPr>
        <w:t xml:space="preserve">firm does not </w:t>
      </w:r>
      <w:r w:rsidR="00DF0BCB">
        <w:rPr>
          <w:rFonts w:ascii="Arial" w:hAnsi="Arial" w:cs="Arial"/>
          <w:color w:val="000000"/>
          <w:sz w:val="20"/>
          <w:szCs w:val="20"/>
        </w:rPr>
        <w:t>meet regulatory or legal requirements</w:t>
      </w:r>
      <w:r w:rsidR="00DF0BCB">
        <w:rPr>
          <w:rFonts w:ascii="Arial" w:hAnsi="Arial" w:cs="Arial"/>
          <w:sz w:val="20"/>
          <w:szCs w:val="20"/>
        </w:rPr>
        <w:t xml:space="preserve"> when giving advice they are able to obtain appropriate</w:t>
      </w:r>
      <w:r w:rsidR="00A31F7B">
        <w:rPr>
          <w:rFonts w:ascii="Arial" w:hAnsi="Arial" w:cs="Arial"/>
          <w:sz w:val="20"/>
          <w:szCs w:val="20"/>
        </w:rPr>
        <w:t xml:space="preserve"> compensation</w:t>
      </w:r>
      <w:r w:rsidR="00922669">
        <w:rPr>
          <w:rFonts w:ascii="Arial" w:hAnsi="Arial" w:cs="Arial"/>
          <w:sz w:val="20"/>
          <w:szCs w:val="20"/>
        </w:rPr>
        <w:t xml:space="preserve"> </w:t>
      </w:r>
      <w:r w:rsidR="00592387">
        <w:rPr>
          <w:rFonts w:ascii="Arial" w:hAnsi="Arial" w:cs="Arial"/>
          <w:sz w:val="20"/>
          <w:szCs w:val="20"/>
        </w:rPr>
        <w:t xml:space="preserve">even if </w:t>
      </w:r>
      <w:r w:rsidR="00D8747E">
        <w:rPr>
          <w:rFonts w:ascii="Arial" w:hAnsi="Arial" w:cs="Arial"/>
          <w:sz w:val="20"/>
          <w:szCs w:val="20"/>
        </w:rPr>
        <w:t xml:space="preserve">the </w:t>
      </w:r>
      <w:r w:rsidR="00592387" w:rsidRPr="00592387">
        <w:rPr>
          <w:rFonts w:ascii="Arial" w:hAnsi="Arial" w:cs="Arial"/>
          <w:sz w:val="20"/>
          <w:szCs w:val="20"/>
        </w:rPr>
        <w:t>firm is financially</w:t>
      </w:r>
      <w:r w:rsidR="00592387">
        <w:rPr>
          <w:rFonts w:ascii="Arial" w:hAnsi="Arial" w:cs="Arial"/>
          <w:sz w:val="20"/>
          <w:szCs w:val="20"/>
        </w:rPr>
        <w:t xml:space="preserve"> </w:t>
      </w:r>
      <w:r w:rsidR="00592387" w:rsidRPr="00592387">
        <w:rPr>
          <w:rFonts w:ascii="Arial" w:hAnsi="Arial" w:cs="Arial"/>
          <w:sz w:val="20"/>
          <w:szCs w:val="20"/>
        </w:rPr>
        <w:t>unable to meet th</w:t>
      </w:r>
      <w:r w:rsidR="00592387">
        <w:rPr>
          <w:rFonts w:ascii="Arial" w:hAnsi="Arial" w:cs="Arial"/>
          <w:sz w:val="20"/>
          <w:szCs w:val="20"/>
        </w:rPr>
        <w:t>eir</w:t>
      </w:r>
      <w:r w:rsidR="00592387" w:rsidRPr="00592387">
        <w:rPr>
          <w:rFonts w:ascii="Arial" w:hAnsi="Arial" w:cs="Arial"/>
          <w:sz w:val="20"/>
          <w:szCs w:val="20"/>
        </w:rPr>
        <w:t xml:space="preserve"> claim</w:t>
      </w:r>
      <w:r w:rsidR="00A31F7B">
        <w:rPr>
          <w:rFonts w:ascii="Arial" w:hAnsi="Arial" w:cs="Arial"/>
          <w:sz w:val="20"/>
          <w:szCs w:val="20"/>
        </w:rPr>
        <w:t xml:space="preserve">. </w:t>
      </w:r>
    </w:p>
    <w:p w14:paraId="422E8D80" w14:textId="65F8741A" w:rsidR="00E562F9" w:rsidRDefault="00B13CEF" w:rsidP="00592387">
      <w:pPr>
        <w:rPr>
          <w:rFonts w:ascii="Arial" w:hAnsi="Arial" w:cs="Arial"/>
          <w:sz w:val="20"/>
          <w:szCs w:val="20"/>
        </w:rPr>
      </w:pPr>
      <w:r>
        <w:rPr>
          <w:rFonts w:ascii="Arial" w:hAnsi="Arial" w:cs="Arial"/>
          <w:sz w:val="20"/>
          <w:szCs w:val="20"/>
        </w:rPr>
        <w:t>Also, we believe that t</w:t>
      </w:r>
      <w:r w:rsidR="00B826F2">
        <w:rPr>
          <w:rFonts w:ascii="Arial" w:hAnsi="Arial" w:cs="Arial"/>
          <w:sz w:val="20"/>
          <w:szCs w:val="20"/>
        </w:rPr>
        <w:t xml:space="preserve">he </w:t>
      </w:r>
      <w:r w:rsidR="007C1686">
        <w:rPr>
          <w:rFonts w:ascii="Arial" w:hAnsi="Arial" w:cs="Arial"/>
          <w:sz w:val="20"/>
          <w:szCs w:val="20"/>
        </w:rPr>
        <w:t xml:space="preserve">complexity or level of risk of the </w:t>
      </w:r>
      <w:r w:rsidR="00865EA7">
        <w:rPr>
          <w:rFonts w:ascii="Arial" w:hAnsi="Arial" w:cs="Arial"/>
          <w:sz w:val="20"/>
          <w:szCs w:val="20"/>
        </w:rPr>
        <w:t xml:space="preserve">investment </w:t>
      </w:r>
      <w:r w:rsidR="007C1686">
        <w:rPr>
          <w:rFonts w:ascii="Arial" w:hAnsi="Arial" w:cs="Arial"/>
          <w:sz w:val="20"/>
          <w:szCs w:val="20"/>
        </w:rPr>
        <w:t>product should not</w:t>
      </w:r>
      <w:r w:rsidR="00865EA7">
        <w:rPr>
          <w:rFonts w:ascii="Arial" w:hAnsi="Arial" w:cs="Arial"/>
          <w:sz w:val="20"/>
          <w:szCs w:val="20"/>
        </w:rPr>
        <w:t xml:space="preserve"> </w:t>
      </w:r>
      <w:r w:rsidR="000E2EC6">
        <w:rPr>
          <w:rFonts w:ascii="Arial" w:hAnsi="Arial" w:cs="Arial"/>
          <w:sz w:val="20"/>
          <w:szCs w:val="20"/>
        </w:rPr>
        <w:t>be a reason for not</w:t>
      </w:r>
      <w:r w:rsidR="00BA20CF">
        <w:rPr>
          <w:rFonts w:ascii="Arial" w:hAnsi="Arial" w:cs="Arial"/>
          <w:sz w:val="20"/>
          <w:szCs w:val="20"/>
        </w:rPr>
        <w:t xml:space="preserve"> offering consumers </w:t>
      </w:r>
      <w:r w:rsidR="00804BE0">
        <w:rPr>
          <w:rFonts w:ascii="Arial" w:hAnsi="Arial" w:cs="Arial"/>
          <w:sz w:val="20"/>
          <w:szCs w:val="20"/>
        </w:rPr>
        <w:t>the safety net of the FSCS</w:t>
      </w:r>
      <w:r w:rsidR="000D0E51">
        <w:rPr>
          <w:rFonts w:ascii="Arial" w:hAnsi="Arial" w:cs="Arial"/>
          <w:sz w:val="20"/>
          <w:szCs w:val="20"/>
        </w:rPr>
        <w:t xml:space="preserve"> especially where the product is an authorised fund such as the LTAF.</w:t>
      </w:r>
    </w:p>
    <w:p w14:paraId="1D244E30" w14:textId="77A10BB1" w:rsidR="002B75F9" w:rsidRDefault="004028DC" w:rsidP="002155F0">
      <w:pPr>
        <w:rPr>
          <w:rFonts w:ascii="Arial" w:hAnsi="Arial" w:cs="Arial"/>
          <w:sz w:val="20"/>
          <w:szCs w:val="20"/>
        </w:rPr>
      </w:pPr>
      <w:r>
        <w:rPr>
          <w:rFonts w:ascii="Arial" w:hAnsi="Arial" w:cs="Arial"/>
          <w:sz w:val="20"/>
          <w:szCs w:val="20"/>
        </w:rPr>
        <w:t>If</w:t>
      </w:r>
      <w:r w:rsidR="002B75F9">
        <w:rPr>
          <w:rFonts w:ascii="Arial" w:hAnsi="Arial" w:cs="Arial"/>
          <w:sz w:val="20"/>
          <w:szCs w:val="20"/>
        </w:rPr>
        <w:t xml:space="preserve"> the FCA wish</w:t>
      </w:r>
      <w:r>
        <w:rPr>
          <w:rFonts w:ascii="Arial" w:hAnsi="Arial" w:cs="Arial"/>
          <w:sz w:val="20"/>
          <w:szCs w:val="20"/>
        </w:rPr>
        <w:t>es</w:t>
      </w:r>
      <w:r w:rsidR="002B75F9">
        <w:rPr>
          <w:rFonts w:ascii="Arial" w:hAnsi="Arial" w:cs="Arial"/>
          <w:sz w:val="20"/>
          <w:szCs w:val="20"/>
        </w:rPr>
        <w:t xml:space="preserve"> to review the scope of the FSCS, </w:t>
      </w:r>
      <w:r w:rsidR="00532DF1">
        <w:rPr>
          <w:rFonts w:ascii="Arial" w:hAnsi="Arial" w:cs="Arial"/>
          <w:sz w:val="20"/>
          <w:szCs w:val="20"/>
        </w:rPr>
        <w:t xml:space="preserve">we believe </w:t>
      </w:r>
      <w:r w:rsidR="002B75F9">
        <w:rPr>
          <w:rFonts w:ascii="Arial" w:hAnsi="Arial" w:cs="Arial"/>
          <w:sz w:val="20"/>
          <w:szCs w:val="20"/>
        </w:rPr>
        <w:t>this should be undertaken as</w:t>
      </w:r>
      <w:r w:rsidR="004026AE">
        <w:rPr>
          <w:rFonts w:ascii="Arial" w:hAnsi="Arial" w:cs="Arial"/>
          <w:sz w:val="20"/>
          <w:szCs w:val="20"/>
        </w:rPr>
        <w:t xml:space="preserve"> </w:t>
      </w:r>
      <w:r w:rsidR="00941ED3">
        <w:rPr>
          <w:rFonts w:ascii="Arial" w:hAnsi="Arial" w:cs="Arial"/>
          <w:sz w:val="20"/>
          <w:szCs w:val="20"/>
        </w:rPr>
        <w:t xml:space="preserve">part of </w:t>
      </w:r>
      <w:r w:rsidR="004026AE">
        <w:rPr>
          <w:rFonts w:ascii="Arial" w:hAnsi="Arial" w:cs="Arial"/>
          <w:sz w:val="20"/>
          <w:szCs w:val="20"/>
        </w:rPr>
        <w:t>a comprehensive review and not</w:t>
      </w:r>
      <w:r w:rsidR="00FB6449">
        <w:rPr>
          <w:rFonts w:ascii="Arial" w:hAnsi="Arial" w:cs="Arial"/>
          <w:sz w:val="20"/>
          <w:szCs w:val="20"/>
        </w:rPr>
        <w:t xml:space="preserve"> </w:t>
      </w:r>
      <w:r w:rsidR="00941ED3">
        <w:rPr>
          <w:rFonts w:ascii="Arial" w:hAnsi="Arial" w:cs="Arial"/>
          <w:sz w:val="20"/>
          <w:szCs w:val="20"/>
        </w:rPr>
        <w:t xml:space="preserve">on </w:t>
      </w:r>
      <w:r w:rsidR="00FB6449">
        <w:rPr>
          <w:rFonts w:ascii="Arial" w:hAnsi="Arial" w:cs="Arial"/>
          <w:sz w:val="20"/>
          <w:szCs w:val="20"/>
        </w:rPr>
        <w:t>a piecemeal basis.</w:t>
      </w:r>
    </w:p>
    <w:p w14:paraId="6CFB74FD" w14:textId="6B56F058" w:rsidR="00212239" w:rsidRPr="00301C7B" w:rsidRDefault="00212239" w:rsidP="002155F0">
      <w:pPr>
        <w:rPr>
          <w:rFonts w:ascii="Arial" w:hAnsi="Arial" w:cs="Arial"/>
          <w:sz w:val="20"/>
          <w:szCs w:val="20"/>
        </w:rPr>
      </w:pPr>
      <w:r w:rsidRPr="00301C7B">
        <w:rPr>
          <w:rFonts w:ascii="Arial" w:hAnsi="Arial" w:cs="Arial"/>
          <w:sz w:val="20"/>
          <w:szCs w:val="20"/>
        </w:rPr>
        <w:t>Our detailed response</w:t>
      </w:r>
      <w:r w:rsidR="00941ED3">
        <w:rPr>
          <w:rFonts w:ascii="Arial" w:hAnsi="Arial" w:cs="Arial"/>
          <w:sz w:val="20"/>
          <w:szCs w:val="20"/>
        </w:rPr>
        <w:t>,</w:t>
      </w:r>
      <w:r w:rsidRPr="00301C7B">
        <w:rPr>
          <w:rFonts w:ascii="Arial" w:hAnsi="Arial" w:cs="Arial"/>
          <w:sz w:val="20"/>
          <w:szCs w:val="20"/>
        </w:rPr>
        <w:t xml:space="preserve"> to </w:t>
      </w:r>
      <w:r w:rsidR="00FB6449">
        <w:rPr>
          <w:rFonts w:ascii="Arial" w:hAnsi="Arial" w:cs="Arial"/>
          <w:sz w:val="20"/>
          <w:szCs w:val="20"/>
        </w:rPr>
        <w:t>questions in Chapter 4 of PS23/7</w:t>
      </w:r>
      <w:r w:rsidR="00941ED3">
        <w:rPr>
          <w:rFonts w:ascii="Arial" w:hAnsi="Arial" w:cs="Arial"/>
          <w:sz w:val="20"/>
          <w:szCs w:val="20"/>
        </w:rPr>
        <w:t>,</w:t>
      </w:r>
      <w:r w:rsidR="00FB6449">
        <w:rPr>
          <w:rFonts w:ascii="Arial" w:hAnsi="Arial" w:cs="Arial"/>
          <w:sz w:val="20"/>
          <w:szCs w:val="20"/>
        </w:rPr>
        <w:t xml:space="preserve"> </w:t>
      </w:r>
      <w:r w:rsidR="00460A14" w:rsidRPr="00301C7B">
        <w:rPr>
          <w:rFonts w:ascii="Arial" w:hAnsi="Arial" w:cs="Arial"/>
          <w:sz w:val="20"/>
          <w:szCs w:val="20"/>
        </w:rPr>
        <w:t>is</w:t>
      </w:r>
      <w:r w:rsidRPr="00301C7B">
        <w:rPr>
          <w:rFonts w:ascii="Arial" w:hAnsi="Arial" w:cs="Arial"/>
          <w:sz w:val="20"/>
          <w:szCs w:val="20"/>
        </w:rPr>
        <w:t xml:space="preserve"> </w:t>
      </w:r>
      <w:r w:rsidR="00FB6449">
        <w:rPr>
          <w:rFonts w:ascii="Arial" w:hAnsi="Arial" w:cs="Arial"/>
          <w:sz w:val="20"/>
          <w:szCs w:val="20"/>
        </w:rPr>
        <w:t>provided below</w:t>
      </w:r>
      <w:r w:rsidRPr="00301C7B">
        <w:rPr>
          <w:rFonts w:ascii="Arial" w:hAnsi="Arial" w:cs="Arial"/>
          <w:sz w:val="20"/>
          <w:szCs w:val="20"/>
        </w:rPr>
        <w:t xml:space="preserve">. Please contact </w:t>
      </w:r>
      <w:r w:rsidR="0089326C" w:rsidRPr="00301C7B">
        <w:rPr>
          <w:rFonts w:ascii="Arial" w:hAnsi="Arial" w:cs="Arial"/>
          <w:sz w:val="20"/>
          <w:szCs w:val="20"/>
        </w:rPr>
        <w:t>either myself (</w:t>
      </w:r>
      <w:hyperlink r:id="rId12" w:history="1">
        <w:r w:rsidR="0089326C" w:rsidRPr="00301C7B">
          <w:rPr>
            <w:rStyle w:val="Hyperlink"/>
            <w:rFonts w:ascii="Arial" w:hAnsi="Arial" w:cs="Arial"/>
            <w:sz w:val="20"/>
            <w:szCs w:val="20"/>
          </w:rPr>
          <w:t>prichards@aref.org.uk</w:t>
        </w:r>
      </w:hyperlink>
      <w:r w:rsidR="0089326C" w:rsidRPr="00301C7B">
        <w:rPr>
          <w:rFonts w:ascii="Arial" w:hAnsi="Arial" w:cs="Arial"/>
          <w:sz w:val="20"/>
          <w:szCs w:val="20"/>
        </w:rPr>
        <w:t xml:space="preserve">) or </w:t>
      </w:r>
      <w:r w:rsidR="0089326C" w:rsidRPr="00301C7B">
        <w:rPr>
          <w:rFonts w:ascii="Arial" w:hAnsi="Arial" w:cs="Arial"/>
          <w:bCs/>
          <w:sz w:val="20"/>
          <w:szCs w:val="20"/>
        </w:rPr>
        <w:t>Jacqui Bungay (</w:t>
      </w:r>
      <w:hyperlink r:id="rId13" w:history="1">
        <w:r w:rsidR="0089326C" w:rsidRPr="00301C7B">
          <w:rPr>
            <w:rStyle w:val="Hyperlink"/>
            <w:rFonts w:ascii="Arial" w:hAnsi="Arial" w:cs="Arial"/>
            <w:bCs/>
            <w:sz w:val="20"/>
            <w:szCs w:val="20"/>
          </w:rPr>
          <w:t>jbungay@aref.org.uk</w:t>
        </w:r>
      </w:hyperlink>
      <w:r w:rsidR="0089326C" w:rsidRPr="00301C7B">
        <w:rPr>
          <w:rFonts w:ascii="Arial" w:hAnsi="Arial" w:cs="Arial"/>
          <w:bCs/>
          <w:sz w:val="20"/>
          <w:szCs w:val="20"/>
        </w:rPr>
        <w:t>), Policy Secretariat at AREF</w:t>
      </w:r>
      <w:r w:rsidRPr="00301C7B">
        <w:rPr>
          <w:rFonts w:ascii="Arial" w:hAnsi="Arial" w:cs="Arial"/>
          <w:sz w:val="20"/>
          <w:szCs w:val="20"/>
        </w:rPr>
        <w:t>, to discuss any aspect of our response.</w:t>
      </w:r>
    </w:p>
    <w:p w14:paraId="6CFB74FE" w14:textId="77777777" w:rsidR="00212239" w:rsidRPr="002155F0" w:rsidRDefault="00212239" w:rsidP="002155F0">
      <w:pPr>
        <w:rPr>
          <w:rFonts w:ascii="Arial" w:hAnsi="Arial" w:cs="Arial"/>
          <w:sz w:val="20"/>
          <w:szCs w:val="20"/>
        </w:rPr>
      </w:pPr>
    </w:p>
    <w:p w14:paraId="6CFB74FF" w14:textId="77777777" w:rsidR="00212239" w:rsidRPr="002155F0" w:rsidRDefault="00212239" w:rsidP="002155F0">
      <w:pPr>
        <w:rPr>
          <w:rFonts w:ascii="Arial" w:hAnsi="Arial" w:cs="Arial"/>
          <w:sz w:val="20"/>
          <w:szCs w:val="20"/>
        </w:rPr>
      </w:pPr>
      <w:r w:rsidRPr="002155F0">
        <w:rPr>
          <w:rFonts w:ascii="Arial" w:hAnsi="Arial" w:cs="Arial"/>
          <w:sz w:val="20"/>
          <w:szCs w:val="20"/>
        </w:rPr>
        <w:t>Yours sincerely</w:t>
      </w:r>
    </w:p>
    <w:p w14:paraId="6CFB7500" w14:textId="6E356DF2" w:rsidR="00212239" w:rsidRPr="00417F01" w:rsidRDefault="00212239" w:rsidP="00212239">
      <w:pPr>
        <w:rPr>
          <w:rFonts w:ascii="Arial" w:hAnsi="Arial" w:cs="Arial"/>
          <w:noProof/>
          <w:sz w:val="20"/>
          <w:szCs w:val="20"/>
          <w:lang w:eastAsia="en-GB"/>
        </w:rPr>
      </w:pPr>
    </w:p>
    <w:p w14:paraId="6CFB7501" w14:textId="09D15EC0" w:rsidR="00212239" w:rsidRPr="00417F01" w:rsidRDefault="002F3D09" w:rsidP="00212239">
      <w:pPr>
        <w:rPr>
          <w:rFonts w:ascii="Arial" w:hAnsi="Arial" w:cs="Arial"/>
          <w:b/>
          <w:sz w:val="20"/>
          <w:szCs w:val="20"/>
        </w:rPr>
      </w:pPr>
      <w:r w:rsidRPr="00417F01">
        <w:rPr>
          <w:rFonts w:ascii="Arial" w:hAnsi="Arial" w:cs="Arial"/>
          <w:b/>
          <w:sz w:val="20"/>
          <w:szCs w:val="20"/>
        </w:rPr>
        <w:t>Paul Richards</w:t>
      </w:r>
    </w:p>
    <w:p w14:paraId="6CFB7503" w14:textId="575356A4" w:rsidR="00212239" w:rsidRPr="00417F01" w:rsidRDefault="002F3D09" w:rsidP="00212239">
      <w:pPr>
        <w:rPr>
          <w:rFonts w:ascii="Arial" w:hAnsi="Arial" w:cs="Arial"/>
          <w:sz w:val="20"/>
          <w:szCs w:val="20"/>
        </w:rPr>
      </w:pPr>
      <w:r w:rsidRPr="00417F01">
        <w:rPr>
          <w:rFonts w:ascii="Arial" w:hAnsi="Arial" w:cs="Arial"/>
          <w:sz w:val="20"/>
          <w:szCs w:val="20"/>
        </w:rPr>
        <w:t>Managing Director</w:t>
      </w:r>
      <w:r w:rsidR="0089326C" w:rsidRPr="00417F01">
        <w:rPr>
          <w:rFonts w:ascii="Arial" w:hAnsi="Arial" w:cs="Arial"/>
          <w:sz w:val="20"/>
          <w:szCs w:val="20"/>
        </w:rPr>
        <w:t xml:space="preserve">, </w:t>
      </w:r>
      <w:r w:rsidR="00212239" w:rsidRPr="00417F01">
        <w:rPr>
          <w:rFonts w:ascii="Arial" w:hAnsi="Arial" w:cs="Arial"/>
          <w:sz w:val="20"/>
          <w:szCs w:val="20"/>
        </w:rPr>
        <w:t>The Association of Real Estate Funds</w:t>
      </w:r>
    </w:p>
    <w:p w14:paraId="512B8587" w14:textId="77777777" w:rsidR="00BF6162" w:rsidRDefault="00BF6162" w:rsidP="00212239">
      <w:pPr>
        <w:rPr>
          <w:rFonts w:ascii="Arial" w:hAnsi="Arial" w:cs="Arial"/>
        </w:rPr>
        <w:sectPr w:rsidR="00BF6162" w:rsidSect="007B45B8">
          <w:headerReference w:type="even" r:id="rId14"/>
          <w:headerReference w:type="default" r:id="rId15"/>
          <w:footerReference w:type="even" r:id="rId16"/>
          <w:footerReference w:type="default" r:id="rId17"/>
          <w:headerReference w:type="first" r:id="rId18"/>
          <w:footerReference w:type="first" r:id="rId19"/>
          <w:pgSz w:w="11906" w:h="16838"/>
          <w:pgMar w:top="1797" w:right="720" w:bottom="720" w:left="720" w:header="284" w:footer="709" w:gutter="0"/>
          <w:cols w:space="708"/>
          <w:docGrid w:linePitch="360"/>
        </w:sectPr>
      </w:pPr>
    </w:p>
    <w:p w14:paraId="4E7AEBDC" w14:textId="0ACCC039" w:rsidR="00C05B67" w:rsidRPr="00395A01" w:rsidRDefault="00C05B67" w:rsidP="00C05B67">
      <w:pPr>
        <w:rPr>
          <w:rFonts w:ascii="Arial" w:hAnsi="Arial" w:cs="Arial"/>
          <w:b/>
          <w:color w:val="169FDB"/>
          <w:sz w:val="24"/>
          <w:szCs w:val="24"/>
        </w:rPr>
      </w:pPr>
      <w:r w:rsidRPr="00395A01">
        <w:rPr>
          <w:rFonts w:ascii="Arial" w:hAnsi="Arial" w:cs="Arial"/>
          <w:b/>
          <w:color w:val="169FDB"/>
          <w:sz w:val="24"/>
          <w:szCs w:val="24"/>
        </w:rPr>
        <w:lastRenderedPageBreak/>
        <w:t xml:space="preserve">Response to </w:t>
      </w:r>
      <w:r w:rsidR="00AA0809" w:rsidRPr="00AA0809">
        <w:rPr>
          <w:rFonts w:ascii="Arial" w:hAnsi="Arial" w:cs="Arial"/>
          <w:b/>
          <w:color w:val="169FDB"/>
          <w:sz w:val="24"/>
          <w:szCs w:val="24"/>
        </w:rPr>
        <w:t>FCA PS23/7</w:t>
      </w:r>
      <w:r w:rsidR="00AA0809">
        <w:rPr>
          <w:rFonts w:ascii="Arial" w:hAnsi="Arial" w:cs="Arial"/>
          <w:b/>
          <w:color w:val="169FDB"/>
          <w:sz w:val="24"/>
          <w:szCs w:val="24"/>
        </w:rPr>
        <w:t xml:space="preserve"> </w:t>
      </w:r>
      <w:r w:rsidR="00AA0809" w:rsidRPr="00AA0809">
        <w:rPr>
          <w:rFonts w:ascii="Arial" w:hAnsi="Arial" w:cs="Arial"/>
          <w:b/>
          <w:color w:val="169FDB"/>
          <w:sz w:val="24"/>
          <w:szCs w:val="24"/>
        </w:rPr>
        <w:t xml:space="preserve">– Chapter 4: Access to </w:t>
      </w:r>
      <w:r w:rsidR="00AA0809">
        <w:rPr>
          <w:rFonts w:ascii="Arial" w:hAnsi="Arial" w:cs="Arial"/>
          <w:b/>
          <w:color w:val="169FDB"/>
          <w:sz w:val="24"/>
          <w:szCs w:val="24"/>
        </w:rPr>
        <w:t>FSCS</w:t>
      </w:r>
    </w:p>
    <w:p w14:paraId="5CB726A5" w14:textId="1565A6A8" w:rsidR="00C05B67" w:rsidRPr="00E51F1D" w:rsidRDefault="00AA0809" w:rsidP="00C05B67">
      <w:pPr>
        <w:rPr>
          <w:rFonts w:ascii="Arial" w:hAnsi="Arial" w:cs="Arial"/>
          <w:b/>
        </w:rPr>
      </w:pPr>
      <w:r w:rsidRPr="00AA0809">
        <w:rPr>
          <w:rFonts w:ascii="Arial" w:hAnsi="Arial" w:cs="Arial"/>
          <w:b/>
        </w:rPr>
        <w:t>The FSCS and LTAF products with higher investment risk</w:t>
      </w:r>
    </w:p>
    <w:tbl>
      <w:tblPr>
        <w:tblStyle w:val="TableGrid"/>
        <w:tblW w:w="9776" w:type="dxa"/>
        <w:tblBorders>
          <w:insideH w:val="none" w:sz="0" w:space="0" w:color="auto"/>
        </w:tblBorders>
        <w:tblCellMar>
          <w:top w:w="108" w:type="dxa"/>
          <w:bottom w:w="108" w:type="dxa"/>
        </w:tblCellMar>
        <w:tblLook w:val="04A0" w:firstRow="1" w:lastRow="0" w:firstColumn="1" w:lastColumn="0" w:noHBand="0" w:noVBand="1"/>
      </w:tblPr>
      <w:tblGrid>
        <w:gridCol w:w="703"/>
        <w:gridCol w:w="9073"/>
      </w:tblGrid>
      <w:tr w:rsidR="00835DAF" w:rsidRPr="00E51F1D" w14:paraId="3E5FBF39" w14:textId="77777777" w:rsidTr="00A80984">
        <w:tc>
          <w:tcPr>
            <w:tcW w:w="703" w:type="dxa"/>
          </w:tcPr>
          <w:p w14:paraId="1C93693A" w14:textId="77777777" w:rsidR="00835DAF" w:rsidRPr="00E51F1D" w:rsidRDefault="00835DAF" w:rsidP="005526E0">
            <w:pPr>
              <w:spacing w:after="160"/>
              <w:rPr>
                <w:rFonts w:ascii="Arial" w:hAnsi="Arial" w:cs="Arial"/>
                <w:b/>
                <w:i/>
                <w:color w:val="000000"/>
                <w:sz w:val="20"/>
                <w:szCs w:val="20"/>
              </w:rPr>
            </w:pPr>
            <w:r>
              <w:rPr>
                <w:rFonts w:ascii="Arial" w:hAnsi="Arial" w:cs="Arial"/>
                <w:b/>
                <w:i/>
                <w:color w:val="000000"/>
                <w:sz w:val="20"/>
                <w:szCs w:val="20"/>
              </w:rPr>
              <w:t>Q</w:t>
            </w:r>
            <w:r w:rsidRPr="00E51F1D">
              <w:rPr>
                <w:rFonts w:ascii="Arial" w:hAnsi="Arial" w:cs="Arial"/>
                <w:b/>
                <w:i/>
                <w:color w:val="000000"/>
                <w:sz w:val="20"/>
                <w:szCs w:val="20"/>
              </w:rPr>
              <w:t>1</w:t>
            </w:r>
          </w:p>
        </w:tc>
        <w:tc>
          <w:tcPr>
            <w:tcW w:w="9073" w:type="dxa"/>
          </w:tcPr>
          <w:p w14:paraId="5E38A6B1" w14:textId="3733D801" w:rsidR="00835DAF" w:rsidRPr="00E51F1D" w:rsidRDefault="00AA0809" w:rsidP="00AA0809">
            <w:pPr>
              <w:rPr>
                <w:rFonts w:ascii="Arial" w:hAnsi="Arial" w:cs="Arial"/>
                <w:b/>
                <w:i/>
                <w:color w:val="000000"/>
                <w:sz w:val="20"/>
                <w:szCs w:val="20"/>
              </w:rPr>
            </w:pPr>
            <w:r w:rsidRPr="00AA0809">
              <w:rPr>
                <w:rFonts w:ascii="Arial" w:hAnsi="Arial" w:cs="Arial"/>
                <w:b/>
                <w:i/>
                <w:color w:val="000000"/>
                <w:sz w:val="20"/>
                <w:szCs w:val="20"/>
              </w:rPr>
              <w:t>Do you consider that we should consult on removing FSCS protection for either (a) some activities relating to LTAF – in which case which ones; or (b) all activities? If not, why not.</w:t>
            </w:r>
          </w:p>
        </w:tc>
      </w:tr>
      <w:tr w:rsidR="00835DAF" w:rsidRPr="00781EB9" w14:paraId="75BB309B" w14:textId="77777777" w:rsidTr="00A80984">
        <w:tc>
          <w:tcPr>
            <w:tcW w:w="703" w:type="dxa"/>
          </w:tcPr>
          <w:p w14:paraId="7A37CF43" w14:textId="77777777" w:rsidR="00835DAF" w:rsidRPr="000D7B77" w:rsidRDefault="00835DAF" w:rsidP="005526E0">
            <w:pPr>
              <w:rPr>
                <w:rFonts w:ascii="Arial" w:hAnsi="Arial" w:cs="Arial"/>
                <w:color w:val="000000"/>
                <w:sz w:val="20"/>
                <w:szCs w:val="20"/>
              </w:rPr>
            </w:pPr>
          </w:p>
        </w:tc>
        <w:tc>
          <w:tcPr>
            <w:tcW w:w="9073" w:type="dxa"/>
          </w:tcPr>
          <w:p w14:paraId="58AE862C" w14:textId="18C1734D" w:rsidR="00DC474D" w:rsidRDefault="00984545" w:rsidP="0086789D">
            <w:pPr>
              <w:spacing w:after="120"/>
              <w:rPr>
                <w:rFonts w:ascii="Arial" w:hAnsi="Arial" w:cs="Arial"/>
                <w:color w:val="000000"/>
                <w:sz w:val="20"/>
                <w:szCs w:val="20"/>
              </w:rPr>
            </w:pPr>
            <w:r>
              <w:rPr>
                <w:rFonts w:ascii="Arial" w:hAnsi="Arial" w:cs="Arial"/>
                <w:color w:val="000000"/>
                <w:sz w:val="20"/>
                <w:szCs w:val="20"/>
              </w:rPr>
              <w:t xml:space="preserve">In respect of FSCS protection, we believe that </w:t>
            </w:r>
            <w:r w:rsidR="00A84BDB">
              <w:rPr>
                <w:rFonts w:ascii="Arial" w:hAnsi="Arial" w:cs="Arial"/>
                <w:color w:val="000000"/>
                <w:sz w:val="20"/>
                <w:szCs w:val="20"/>
              </w:rPr>
              <w:t xml:space="preserve">the </w:t>
            </w:r>
            <w:r>
              <w:rPr>
                <w:rFonts w:ascii="Arial" w:hAnsi="Arial" w:cs="Arial"/>
                <w:color w:val="000000"/>
                <w:sz w:val="20"/>
                <w:szCs w:val="20"/>
              </w:rPr>
              <w:t xml:space="preserve">LTAF should </w:t>
            </w:r>
            <w:r w:rsidR="003E206D">
              <w:rPr>
                <w:rFonts w:ascii="Arial" w:hAnsi="Arial" w:cs="Arial"/>
                <w:color w:val="000000"/>
                <w:sz w:val="20"/>
                <w:szCs w:val="20"/>
              </w:rPr>
              <w:t xml:space="preserve">not </w:t>
            </w:r>
            <w:r>
              <w:rPr>
                <w:rFonts w:ascii="Arial" w:hAnsi="Arial" w:cs="Arial"/>
                <w:color w:val="000000"/>
                <w:sz w:val="20"/>
                <w:szCs w:val="20"/>
              </w:rPr>
              <w:t xml:space="preserve">be treated differently to other </w:t>
            </w:r>
            <w:r w:rsidR="00232776">
              <w:rPr>
                <w:rFonts w:ascii="Arial" w:hAnsi="Arial" w:cs="Arial"/>
                <w:color w:val="000000"/>
                <w:sz w:val="20"/>
                <w:szCs w:val="20"/>
              </w:rPr>
              <w:t>authorised funds</w:t>
            </w:r>
            <w:r>
              <w:rPr>
                <w:rFonts w:ascii="Arial" w:hAnsi="Arial" w:cs="Arial"/>
                <w:color w:val="000000"/>
                <w:sz w:val="20"/>
                <w:szCs w:val="20"/>
              </w:rPr>
              <w:t>. W</w:t>
            </w:r>
            <w:r w:rsidRPr="00984545">
              <w:rPr>
                <w:rFonts w:ascii="Arial" w:hAnsi="Arial" w:cs="Arial"/>
                <w:color w:val="000000"/>
                <w:sz w:val="20"/>
                <w:szCs w:val="20"/>
              </w:rPr>
              <w:t xml:space="preserve">e </w:t>
            </w:r>
            <w:r w:rsidR="002722D0">
              <w:rPr>
                <w:rFonts w:ascii="Arial" w:hAnsi="Arial" w:cs="Arial"/>
                <w:color w:val="000000"/>
                <w:sz w:val="20"/>
                <w:szCs w:val="20"/>
              </w:rPr>
              <w:t>feel</w:t>
            </w:r>
            <w:r w:rsidRPr="00984545">
              <w:rPr>
                <w:rFonts w:ascii="Arial" w:hAnsi="Arial" w:cs="Arial"/>
                <w:color w:val="000000"/>
                <w:sz w:val="20"/>
                <w:szCs w:val="20"/>
              </w:rPr>
              <w:t xml:space="preserve"> that solely excluding activities relating to the LTAF from the FSCS </w:t>
            </w:r>
            <w:r w:rsidR="00011696">
              <w:rPr>
                <w:rFonts w:ascii="Arial" w:hAnsi="Arial" w:cs="Arial"/>
                <w:color w:val="000000"/>
                <w:sz w:val="20"/>
                <w:szCs w:val="20"/>
              </w:rPr>
              <w:t>w</w:t>
            </w:r>
            <w:r w:rsidRPr="00984545">
              <w:rPr>
                <w:rFonts w:ascii="Arial" w:hAnsi="Arial" w:cs="Arial"/>
                <w:color w:val="000000"/>
                <w:sz w:val="20"/>
                <w:szCs w:val="20"/>
              </w:rPr>
              <w:t xml:space="preserve">ould result in dissuading retail </w:t>
            </w:r>
            <w:r w:rsidR="00011696">
              <w:rPr>
                <w:rFonts w:ascii="Arial" w:hAnsi="Arial" w:cs="Arial"/>
                <w:color w:val="000000"/>
                <w:sz w:val="20"/>
                <w:szCs w:val="20"/>
              </w:rPr>
              <w:t>investors</w:t>
            </w:r>
            <w:r w:rsidRPr="00984545">
              <w:rPr>
                <w:rFonts w:ascii="Arial" w:hAnsi="Arial" w:cs="Arial"/>
                <w:color w:val="000000"/>
                <w:sz w:val="20"/>
                <w:szCs w:val="20"/>
              </w:rPr>
              <w:t xml:space="preserve"> from investing in LTAFs</w:t>
            </w:r>
            <w:r w:rsidR="00206E03">
              <w:rPr>
                <w:rFonts w:ascii="Arial" w:hAnsi="Arial" w:cs="Arial"/>
                <w:color w:val="000000"/>
                <w:sz w:val="20"/>
                <w:szCs w:val="20"/>
              </w:rPr>
              <w:t xml:space="preserve">. Advisers would have to justify why they have </w:t>
            </w:r>
            <w:r w:rsidR="00206E03" w:rsidRPr="00984545">
              <w:rPr>
                <w:rFonts w:ascii="Arial" w:hAnsi="Arial" w:cs="Arial"/>
                <w:color w:val="000000"/>
                <w:sz w:val="20"/>
                <w:szCs w:val="20"/>
              </w:rPr>
              <w:t>recommende</w:t>
            </w:r>
            <w:r w:rsidR="00206E03">
              <w:rPr>
                <w:rFonts w:ascii="Arial" w:hAnsi="Arial" w:cs="Arial"/>
                <w:color w:val="000000"/>
                <w:sz w:val="20"/>
                <w:szCs w:val="20"/>
              </w:rPr>
              <w:t>d investing in LTAF</w:t>
            </w:r>
            <w:r w:rsidR="003B2959">
              <w:rPr>
                <w:rFonts w:ascii="Arial" w:hAnsi="Arial" w:cs="Arial"/>
                <w:color w:val="000000"/>
                <w:sz w:val="20"/>
                <w:szCs w:val="20"/>
              </w:rPr>
              <w:t>s</w:t>
            </w:r>
            <w:r w:rsidR="00206E03">
              <w:rPr>
                <w:rFonts w:ascii="Arial" w:hAnsi="Arial" w:cs="Arial"/>
                <w:color w:val="000000"/>
                <w:sz w:val="20"/>
                <w:szCs w:val="20"/>
              </w:rPr>
              <w:t xml:space="preserve"> rather than investment products covered by FSCS.</w:t>
            </w:r>
            <w:r w:rsidR="00011696">
              <w:rPr>
                <w:rFonts w:ascii="Arial" w:hAnsi="Arial" w:cs="Arial"/>
                <w:color w:val="000000"/>
                <w:sz w:val="20"/>
                <w:szCs w:val="20"/>
              </w:rPr>
              <w:t xml:space="preserve"> This</w:t>
            </w:r>
            <w:r w:rsidR="003B2959">
              <w:rPr>
                <w:rFonts w:ascii="Arial" w:hAnsi="Arial" w:cs="Arial"/>
                <w:color w:val="000000"/>
                <w:sz w:val="20"/>
                <w:szCs w:val="20"/>
              </w:rPr>
              <w:t>,</w:t>
            </w:r>
            <w:r w:rsidR="00011696">
              <w:rPr>
                <w:rFonts w:ascii="Arial" w:hAnsi="Arial" w:cs="Arial"/>
                <w:color w:val="000000"/>
                <w:sz w:val="20"/>
                <w:szCs w:val="20"/>
              </w:rPr>
              <w:t xml:space="preserve"> in turn</w:t>
            </w:r>
            <w:r w:rsidR="008674D6">
              <w:rPr>
                <w:rFonts w:ascii="Arial" w:hAnsi="Arial" w:cs="Arial"/>
                <w:color w:val="000000"/>
                <w:sz w:val="20"/>
                <w:szCs w:val="20"/>
              </w:rPr>
              <w:t>, could deter firms from launching LTAFs</w:t>
            </w:r>
            <w:r w:rsidR="00206E03">
              <w:rPr>
                <w:rFonts w:ascii="Arial" w:hAnsi="Arial" w:cs="Arial"/>
                <w:color w:val="000000"/>
                <w:sz w:val="20"/>
                <w:szCs w:val="20"/>
              </w:rPr>
              <w:t xml:space="preserve"> suitable for retail investors.</w:t>
            </w:r>
            <w:r w:rsidR="008674D6">
              <w:rPr>
                <w:rFonts w:ascii="Arial" w:hAnsi="Arial" w:cs="Arial"/>
                <w:color w:val="000000"/>
                <w:sz w:val="20"/>
                <w:szCs w:val="20"/>
              </w:rPr>
              <w:t xml:space="preserve"> </w:t>
            </w:r>
          </w:p>
          <w:p w14:paraId="43F24C4E" w14:textId="7FC99BFA" w:rsidR="00203426" w:rsidRPr="00560790" w:rsidRDefault="00203426" w:rsidP="0086789D">
            <w:pPr>
              <w:spacing w:after="120"/>
              <w:rPr>
                <w:rFonts w:ascii="Arial" w:hAnsi="Arial" w:cs="Arial"/>
                <w:sz w:val="20"/>
                <w:szCs w:val="20"/>
              </w:rPr>
            </w:pPr>
            <w:r w:rsidRPr="00560790">
              <w:rPr>
                <w:rFonts w:ascii="Arial" w:hAnsi="Arial" w:cs="Arial"/>
                <w:sz w:val="20"/>
                <w:szCs w:val="20"/>
              </w:rPr>
              <w:t xml:space="preserve">We understand that some wealth managers take a prudent approach </w:t>
            </w:r>
            <w:r w:rsidR="0020361F" w:rsidRPr="00560790">
              <w:rPr>
                <w:rFonts w:ascii="Arial" w:hAnsi="Arial" w:cs="Arial"/>
                <w:sz w:val="20"/>
                <w:szCs w:val="20"/>
              </w:rPr>
              <w:t xml:space="preserve">by </w:t>
            </w:r>
            <w:r w:rsidRPr="00560790">
              <w:rPr>
                <w:rFonts w:ascii="Arial" w:hAnsi="Arial" w:cs="Arial"/>
                <w:sz w:val="20"/>
                <w:szCs w:val="20"/>
              </w:rPr>
              <w:t>carefully spread</w:t>
            </w:r>
            <w:r w:rsidR="0020361F" w:rsidRPr="00560790">
              <w:rPr>
                <w:rFonts w:ascii="Arial" w:hAnsi="Arial" w:cs="Arial"/>
                <w:sz w:val="20"/>
                <w:szCs w:val="20"/>
              </w:rPr>
              <w:t>ing</w:t>
            </w:r>
            <w:r w:rsidRPr="00560790">
              <w:rPr>
                <w:rFonts w:ascii="Arial" w:hAnsi="Arial" w:cs="Arial"/>
                <w:sz w:val="20"/>
                <w:szCs w:val="20"/>
              </w:rPr>
              <w:t xml:space="preserve"> investment risk so as to not breach the current limit of £85k </w:t>
            </w:r>
            <w:r w:rsidR="0020361F" w:rsidRPr="00560790">
              <w:rPr>
                <w:rFonts w:ascii="Arial" w:hAnsi="Arial" w:cs="Arial"/>
                <w:sz w:val="20"/>
                <w:szCs w:val="20"/>
              </w:rPr>
              <w:t xml:space="preserve">per manager </w:t>
            </w:r>
            <w:r w:rsidRPr="00560790">
              <w:rPr>
                <w:rFonts w:ascii="Arial" w:hAnsi="Arial" w:cs="Arial"/>
                <w:sz w:val="20"/>
                <w:szCs w:val="20"/>
              </w:rPr>
              <w:t>to ensure compensation is available</w:t>
            </w:r>
            <w:r w:rsidR="00560790" w:rsidRPr="00560790">
              <w:rPr>
                <w:rFonts w:ascii="Arial" w:hAnsi="Arial" w:cs="Arial"/>
                <w:sz w:val="20"/>
                <w:szCs w:val="20"/>
              </w:rPr>
              <w:t xml:space="preserve"> for their clients</w:t>
            </w:r>
            <w:r w:rsidRPr="00560790">
              <w:rPr>
                <w:rFonts w:ascii="Arial" w:hAnsi="Arial" w:cs="Arial"/>
                <w:sz w:val="20"/>
                <w:szCs w:val="20"/>
              </w:rPr>
              <w:t>. By actively recommending to a client to invest in an LTAF they will have to advise that it does not fall within the FSCS</w:t>
            </w:r>
            <w:r w:rsidR="00560790" w:rsidRPr="00560790">
              <w:rPr>
                <w:rFonts w:ascii="Arial" w:hAnsi="Arial" w:cs="Arial"/>
                <w:sz w:val="20"/>
                <w:szCs w:val="20"/>
              </w:rPr>
              <w:t>. Even though the LTAF may be the best fit for the client’s investment needs, not being covered by FSCS could sway their judgement.</w:t>
            </w:r>
            <w:r w:rsidRPr="00560790">
              <w:rPr>
                <w:rFonts w:ascii="Arial" w:hAnsi="Arial" w:cs="Arial"/>
                <w:sz w:val="20"/>
                <w:szCs w:val="20"/>
              </w:rPr>
              <w:t xml:space="preserve"> Additionally offering products not within the </w:t>
            </w:r>
            <w:r w:rsidR="00560790" w:rsidRPr="00560790">
              <w:rPr>
                <w:rFonts w:ascii="Arial" w:hAnsi="Arial" w:cs="Arial"/>
                <w:sz w:val="20"/>
                <w:szCs w:val="20"/>
              </w:rPr>
              <w:t>FSCS</w:t>
            </w:r>
            <w:r w:rsidRPr="00560790">
              <w:rPr>
                <w:rFonts w:ascii="Arial" w:hAnsi="Arial" w:cs="Arial"/>
                <w:sz w:val="20"/>
                <w:szCs w:val="20"/>
              </w:rPr>
              <w:t xml:space="preserve"> could alter </w:t>
            </w:r>
            <w:r w:rsidRPr="003E206D">
              <w:rPr>
                <w:rFonts w:ascii="Arial" w:hAnsi="Arial" w:cs="Arial"/>
                <w:sz w:val="20"/>
                <w:szCs w:val="20"/>
              </w:rPr>
              <w:t xml:space="preserve">wealth managers’ </w:t>
            </w:r>
            <w:r w:rsidR="003E206D" w:rsidRPr="00327D83">
              <w:rPr>
                <w:rFonts w:ascii="Arial" w:hAnsi="Arial" w:cs="Arial"/>
                <w:sz w:val="20"/>
                <w:szCs w:val="20"/>
              </w:rPr>
              <w:t>p</w:t>
            </w:r>
            <w:r w:rsidR="003E206D" w:rsidRPr="00327D83">
              <w:rPr>
                <w:rStyle w:val="Emphasis"/>
                <w:rFonts w:ascii="Arial" w:hAnsi="Arial" w:cs="Arial"/>
                <w:i w:val="0"/>
                <w:iCs w:val="0"/>
                <w:sz w:val="20"/>
                <w:szCs w:val="20"/>
                <w:shd w:val="clear" w:color="auto" w:fill="FFFFFF"/>
              </w:rPr>
              <w:t>rofessional indemnity</w:t>
            </w:r>
            <w:r w:rsidR="00327D83">
              <w:rPr>
                <w:rStyle w:val="Emphasis"/>
                <w:rFonts w:ascii="Arial" w:hAnsi="Arial" w:cs="Arial"/>
                <w:i w:val="0"/>
                <w:iCs w:val="0"/>
                <w:sz w:val="20"/>
                <w:szCs w:val="20"/>
                <w:shd w:val="clear" w:color="auto" w:fill="FFFFFF"/>
              </w:rPr>
              <w:t xml:space="preserve"> </w:t>
            </w:r>
            <w:r w:rsidRPr="003E206D">
              <w:rPr>
                <w:rFonts w:ascii="Arial" w:hAnsi="Arial" w:cs="Arial"/>
                <w:sz w:val="20"/>
                <w:szCs w:val="20"/>
              </w:rPr>
              <w:t>insurance premiums and be an active reason why they would not recommend an allocation. Also, if the wealth manager runs wider models across their whole business they may require opt outs for all</w:t>
            </w:r>
            <w:r w:rsidRPr="00560790">
              <w:rPr>
                <w:rFonts w:ascii="Arial" w:hAnsi="Arial" w:cs="Arial"/>
                <w:sz w:val="20"/>
                <w:szCs w:val="20"/>
              </w:rPr>
              <w:t xml:space="preserve"> their clients which may not work either operationally or in line with how their risk </w:t>
            </w:r>
            <w:r w:rsidR="00560790" w:rsidRPr="00560790">
              <w:rPr>
                <w:rFonts w:ascii="Arial" w:hAnsi="Arial" w:cs="Arial"/>
                <w:sz w:val="20"/>
                <w:szCs w:val="20"/>
              </w:rPr>
              <w:t xml:space="preserve">management </w:t>
            </w:r>
            <w:r w:rsidRPr="00560790">
              <w:rPr>
                <w:rFonts w:ascii="Arial" w:hAnsi="Arial" w:cs="Arial"/>
                <w:sz w:val="20"/>
                <w:szCs w:val="20"/>
              </w:rPr>
              <w:t>procedures work.</w:t>
            </w:r>
          </w:p>
          <w:p w14:paraId="4A172A36" w14:textId="06E0F2BB" w:rsidR="00011696" w:rsidRPr="00DC474D" w:rsidRDefault="008E330D" w:rsidP="00560790">
            <w:pPr>
              <w:spacing w:after="120"/>
              <w:rPr>
                <w:rFonts w:ascii="Arial" w:hAnsi="Arial" w:cs="Arial"/>
                <w:color w:val="000000"/>
                <w:sz w:val="20"/>
                <w:szCs w:val="20"/>
              </w:rPr>
            </w:pPr>
            <w:r>
              <w:rPr>
                <w:rFonts w:ascii="Arial" w:hAnsi="Arial" w:cs="Arial"/>
                <w:color w:val="000000"/>
                <w:sz w:val="20"/>
                <w:szCs w:val="20"/>
              </w:rPr>
              <w:t>The FSCS covers instances when a firm does</w:t>
            </w:r>
            <w:r w:rsidR="003E206D">
              <w:rPr>
                <w:rFonts w:ascii="Arial" w:hAnsi="Arial" w:cs="Arial"/>
                <w:color w:val="000000"/>
                <w:sz w:val="20"/>
                <w:szCs w:val="20"/>
              </w:rPr>
              <w:t xml:space="preserve"> </w:t>
            </w:r>
            <w:r>
              <w:rPr>
                <w:rFonts w:ascii="Arial" w:hAnsi="Arial" w:cs="Arial"/>
                <w:color w:val="000000"/>
                <w:sz w:val="20"/>
                <w:szCs w:val="20"/>
              </w:rPr>
              <w:t>n</w:t>
            </w:r>
            <w:r w:rsidR="003E206D">
              <w:rPr>
                <w:rFonts w:ascii="Arial" w:hAnsi="Arial" w:cs="Arial"/>
                <w:color w:val="000000"/>
                <w:sz w:val="20"/>
                <w:szCs w:val="20"/>
              </w:rPr>
              <w:t>o</w:t>
            </w:r>
            <w:r>
              <w:rPr>
                <w:rFonts w:ascii="Arial" w:hAnsi="Arial" w:cs="Arial"/>
                <w:color w:val="000000"/>
                <w:sz w:val="20"/>
                <w:szCs w:val="20"/>
              </w:rPr>
              <w:t>t meet regulatory or legal requirements and</w:t>
            </w:r>
            <w:r w:rsidR="00560790">
              <w:rPr>
                <w:rFonts w:ascii="Arial" w:hAnsi="Arial" w:cs="Arial"/>
                <w:color w:val="000000"/>
                <w:sz w:val="20"/>
                <w:szCs w:val="20"/>
              </w:rPr>
              <w:t>,</w:t>
            </w:r>
            <w:r>
              <w:rPr>
                <w:rFonts w:ascii="Arial" w:hAnsi="Arial" w:cs="Arial"/>
                <w:color w:val="000000"/>
                <w:sz w:val="20"/>
                <w:szCs w:val="20"/>
              </w:rPr>
              <w:t xml:space="preserve"> as a consequence</w:t>
            </w:r>
            <w:r w:rsidR="00203426">
              <w:rPr>
                <w:rFonts w:ascii="Arial" w:hAnsi="Arial" w:cs="Arial"/>
                <w:color w:val="000000"/>
                <w:sz w:val="20"/>
                <w:szCs w:val="20"/>
              </w:rPr>
              <w:t>,</w:t>
            </w:r>
            <w:r>
              <w:rPr>
                <w:rFonts w:ascii="Arial" w:hAnsi="Arial" w:cs="Arial"/>
                <w:color w:val="000000"/>
                <w:sz w:val="20"/>
                <w:szCs w:val="20"/>
              </w:rPr>
              <w:t xml:space="preserve"> there is a loss to the consumer. </w:t>
            </w:r>
            <w:r w:rsidR="00203426">
              <w:rPr>
                <w:rFonts w:ascii="Arial" w:hAnsi="Arial" w:cs="Arial"/>
                <w:color w:val="000000"/>
                <w:sz w:val="20"/>
                <w:szCs w:val="20"/>
              </w:rPr>
              <w:t xml:space="preserve">The FCA should be ensuring firms are meeting these requirements for all types of investment products. As mentioned in PS23/7, the introduction of the Consumer Duty requires firms to </w:t>
            </w:r>
            <w:r w:rsidR="00203426" w:rsidRPr="00203426">
              <w:rPr>
                <w:rFonts w:ascii="Arial" w:hAnsi="Arial" w:cs="Arial"/>
                <w:color w:val="000000"/>
                <w:sz w:val="20"/>
                <w:szCs w:val="20"/>
              </w:rPr>
              <w:t>ensur</w:t>
            </w:r>
            <w:r w:rsidR="00203426">
              <w:rPr>
                <w:rFonts w:ascii="Arial" w:hAnsi="Arial" w:cs="Arial"/>
                <w:color w:val="000000"/>
                <w:sz w:val="20"/>
                <w:szCs w:val="20"/>
              </w:rPr>
              <w:t>e</w:t>
            </w:r>
            <w:r w:rsidR="00203426" w:rsidRPr="00203426">
              <w:rPr>
                <w:rFonts w:ascii="Arial" w:hAnsi="Arial" w:cs="Arial"/>
                <w:color w:val="000000"/>
                <w:sz w:val="20"/>
                <w:szCs w:val="20"/>
              </w:rPr>
              <w:t xml:space="preserve"> that investors do not invest without a strong understanding of the risks</w:t>
            </w:r>
            <w:r w:rsidR="00203426">
              <w:rPr>
                <w:rFonts w:ascii="Arial" w:hAnsi="Arial" w:cs="Arial"/>
                <w:color w:val="000000"/>
                <w:sz w:val="20"/>
                <w:szCs w:val="20"/>
              </w:rPr>
              <w:t>. This should</w:t>
            </w:r>
            <w:r w:rsidR="003E206D">
              <w:rPr>
                <w:rFonts w:ascii="Arial" w:hAnsi="Arial" w:cs="Arial"/>
                <w:color w:val="000000"/>
                <w:sz w:val="20"/>
                <w:szCs w:val="20"/>
              </w:rPr>
              <w:t xml:space="preserve"> </w:t>
            </w:r>
            <w:r w:rsidR="00203426">
              <w:rPr>
                <w:rFonts w:ascii="Arial" w:hAnsi="Arial" w:cs="Arial"/>
                <w:color w:val="000000"/>
                <w:sz w:val="20"/>
                <w:szCs w:val="20"/>
              </w:rPr>
              <w:t>n</w:t>
            </w:r>
            <w:r w:rsidR="003E206D">
              <w:rPr>
                <w:rFonts w:ascii="Arial" w:hAnsi="Arial" w:cs="Arial"/>
                <w:color w:val="000000"/>
                <w:sz w:val="20"/>
                <w:szCs w:val="20"/>
              </w:rPr>
              <w:t>o</w:t>
            </w:r>
            <w:r w:rsidR="00203426">
              <w:rPr>
                <w:rFonts w:ascii="Arial" w:hAnsi="Arial" w:cs="Arial"/>
                <w:color w:val="000000"/>
                <w:sz w:val="20"/>
                <w:szCs w:val="20"/>
              </w:rPr>
              <w:t xml:space="preserve">t be any different whether an investment product is viewed as a low or high-risk product. </w:t>
            </w:r>
            <w:r w:rsidR="0020361F">
              <w:rPr>
                <w:rFonts w:ascii="Arial" w:hAnsi="Arial" w:cs="Arial"/>
                <w:color w:val="000000"/>
                <w:sz w:val="20"/>
                <w:szCs w:val="20"/>
              </w:rPr>
              <w:t>Compensation, due to</w:t>
            </w:r>
            <w:r w:rsidR="00203426">
              <w:rPr>
                <w:rFonts w:ascii="Arial" w:hAnsi="Arial" w:cs="Arial"/>
                <w:color w:val="000000"/>
                <w:sz w:val="20"/>
                <w:szCs w:val="20"/>
              </w:rPr>
              <w:t xml:space="preserve"> poor</w:t>
            </w:r>
            <w:r w:rsidR="0020361F">
              <w:rPr>
                <w:rFonts w:ascii="Arial" w:hAnsi="Arial" w:cs="Arial"/>
                <w:color w:val="000000"/>
                <w:sz w:val="20"/>
                <w:szCs w:val="20"/>
              </w:rPr>
              <w:t xml:space="preserve"> advice, should be available even if an investment product is </w:t>
            </w:r>
            <w:r w:rsidR="00A665B2">
              <w:rPr>
                <w:rFonts w:ascii="Arial" w:hAnsi="Arial" w:cs="Arial"/>
                <w:color w:val="000000"/>
                <w:sz w:val="20"/>
                <w:szCs w:val="20"/>
              </w:rPr>
              <w:t>“</w:t>
            </w:r>
            <w:r w:rsidR="0020361F">
              <w:rPr>
                <w:rFonts w:ascii="Arial" w:hAnsi="Arial" w:cs="Arial"/>
                <w:color w:val="000000"/>
                <w:sz w:val="20"/>
                <w:szCs w:val="20"/>
              </w:rPr>
              <w:t>complex with higher investment risk</w:t>
            </w:r>
            <w:r w:rsidR="00A665B2">
              <w:rPr>
                <w:rFonts w:ascii="Arial" w:hAnsi="Arial" w:cs="Arial"/>
                <w:color w:val="000000"/>
                <w:sz w:val="20"/>
                <w:szCs w:val="20"/>
              </w:rPr>
              <w:t>”</w:t>
            </w:r>
            <w:r w:rsidR="0020361F">
              <w:rPr>
                <w:rFonts w:ascii="Arial" w:hAnsi="Arial" w:cs="Arial"/>
                <w:color w:val="000000"/>
                <w:sz w:val="20"/>
                <w:szCs w:val="20"/>
              </w:rPr>
              <w:t>.</w:t>
            </w:r>
          </w:p>
        </w:tc>
      </w:tr>
    </w:tbl>
    <w:p w14:paraId="5D2D31AB" w14:textId="77777777" w:rsidR="00835DAF" w:rsidRPr="00D5043E" w:rsidRDefault="00835DAF" w:rsidP="00560790">
      <w:pPr>
        <w:spacing w:after="0"/>
        <w:rPr>
          <w:rFonts w:ascii="Arial" w:hAnsi="Arial" w:cs="Arial"/>
          <w:sz w:val="20"/>
          <w:szCs w:val="20"/>
        </w:rPr>
      </w:pPr>
    </w:p>
    <w:tbl>
      <w:tblPr>
        <w:tblStyle w:val="TableGrid"/>
        <w:tblW w:w="9776" w:type="dxa"/>
        <w:tblBorders>
          <w:insideH w:val="none" w:sz="0" w:space="0" w:color="auto"/>
        </w:tblBorders>
        <w:tblCellMar>
          <w:top w:w="108" w:type="dxa"/>
          <w:bottom w:w="108" w:type="dxa"/>
        </w:tblCellMar>
        <w:tblLook w:val="04A0" w:firstRow="1" w:lastRow="0" w:firstColumn="1" w:lastColumn="0" w:noHBand="0" w:noVBand="1"/>
      </w:tblPr>
      <w:tblGrid>
        <w:gridCol w:w="699"/>
        <w:gridCol w:w="9077"/>
      </w:tblGrid>
      <w:tr w:rsidR="00B12A5B" w:rsidRPr="002155F0" w14:paraId="16CCA953" w14:textId="77777777" w:rsidTr="00AA0809">
        <w:tc>
          <w:tcPr>
            <w:tcW w:w="699" w:type="dxa"/>
          </w:tcPr>
          <w:p w14:paraId="16E76652" w14:textId="1A0CDDDF" w:rsidR="00B12A5B" w:rsidRPr="002155F0" w:rsidRDefault="00024349" w:rsidP="005526E0">
            <w:pPr>
              <w:spacing w:after="160"/>
              <w:rPr>
                <w:rFonts w:ascii="Arial" w:hAnsi="Arial" w:cs="Arial"/>
                <w:b/>
                <w:i/>
                <w:color w:val="000000"/>
                <w:sz w:val="20"/>
                <w:szCs w:val="20"/>
              </w:rPr>
            </w:pPr>
            <w:r w:rsidRPr="002155F0">
              <w:rPr>
                <w:rFonts w:ascii="Arial" w:hAnsi="Arial" w:cs="Arial"/>
                <w:b/>
                <w:i/>
                <w:color w:val="000000"/>
                <w:sz w:val="20"/>
                <w:szCs w:val="20"/>
              </w:rPr>
              <w:t>Q</w:t>
            </w:r>
            <w:r w:rsidR="00B12A5B" w:rsidRPr="002155F0">
              <w:rPr>
                <w:rFonts w:ascii="Arial" w:hAnsi="Arial" w:cs="Arial"/>
                <w:b/>
                <w:i/>
                <w:color w:val="000000"/>
                <w:sz w:val="20"/>
                <w:szCs w:val="20"/>
              </w:rPr>
              <w:t>2</w:t>
            </w:r>
          </w:p>
        </w:tc>
        <w:tc>
          <w:tcPr>
            <w:tcW w:w="9077" w:type="dxa"/>
          </w:tcPr>
          <w:p w14:paraId="464D1934" w14:textId="44DF62F4" w:rsidR="00B12A5B" w:rsidRPr="002155F0" w:rsidRDefault="00AA0809" w:rsidP="00AA0809">
            <w:pPr>
              <w:rPr>
                <w:rFonts w:ascii="Arial" w:hAnsi="Arial" w:cs="Arial"/>
                <w:b/>
                <w:i/>
                <w:color w:val="000000"/>
                <w:sz w:val="20"/>
                <w:szCs w:val="20"/>
              </w:rPr>
            </w:pPr>
            <w:r w:rsidRPr="00AA0809">
              <w:rPr>
                <w:rFonts w:ascii="Arial" w:hAnsi="Arial" w:cs="Arial"/>
                <w:b/>
                <w:i/>
                <w:color w:val="000000"/>
                <w:sz w:val="20"/>
                <w:szCs w:val="20"/>
              </w:rPr>
              <w:t>If you support removal of LTAF from FSCS coverage, do you agree that steps should be taken to confirm the policy rules for this as soon as possible, so that these changes are made at this early stage in the process of LTAFs being distributed directly to retail investors?</w:t>
            </w:r>
          </w:p>
        </w:tc>
      </w:tr>
      <w:tr w:rsidR="00B12A5B" w:rsidRPr="002155F0" w14:paraId="401F57D9" w14:textId="77777777" w:rsidTr="00AA0809">
        <w:tc>
          <w:tcPr>
            <w:tcW w:w="699" w:type="dxa"/>
          </w:tcPr>
          <w:p w14:paraId="448888EE" w14:textId="77777777" w:rsidR="00B12A5B" w:rsidRPr="002155F0" w:rsidRDefault="00B12A5B" w:rsidP="005526E0">
            <w:pPr>
              <w:rPr>
                <w:rFonts w:ascii="Arial" w:hAnsi="Arial" w:cs="Arial"/>
                <w:color w:val="000000"/>
                <w:sz w:val="20"/>
                <w:szCs w:val="20"/>
              </w:rPr>
            </w:pPr>
          </w:p>
        </w:tc>
        <w:tc>
          <w:tcPr>
            <w:tcW w:w="9077" w:type="dxa"/>
          </w:tcPr>
          <w:p w14:paraId="44F9D9A5" w14:textId="2EDF5EB8" w:rsidR="00B12A5B" w:rsidRPr="002155F0" w:rsidRDefault="00232776" w:rsidP="005526E0">
            <w:pPr>
              <w:spacing w:after="120"/>
              <w:rPr>
                <w:rFonts w:ascii="Arial" w:hAnsi="Arial" w:cs="Arial"/>
                <w:color w:val="000000"/>
                <w:sz w:val="20"/>
                <w:szCs w:val="20"/>
              </w:rPr>
            </w:pPr>
            <w:r>
              <w:rPr>
                <w:rFonts w:ascii="Arial" w:hAnsi="Arial" w:cs="Arial"/>
                <w:color w:val="000000"/>
                <w:sz w:val="20"/>
                <w:szCs w:val="20"/>
              </w:rPr>
              <w:t>We do not agree with the removal of LTAF from FSCS coverage.</w:t>
            </w:r>
          </w:p>
        </w:tc>
      </w:tr>
    </w:tbl>
    <w:p w14:paraId="6634F9FC" w14:textId="21766BEE" w:rsidR="00A72D17" w:rsidRPr="002155F0" w:rsidRDefault="00A72D17" w:rsidP="00560790">
      <w:pPr>
        <w:spacing w:after="0"/>
        <w:rPr>
          <w:rFonts w:ascii="Arial" w:hAnsi="Arial" w:cs="Arial"/>
          <w:sz w:val="20"/>
          <w:szCs w:val="20"/>
        </w:rPr>
      </w:pPr>
    </w:p>
    <w:tbl>
      <w:tblPr>
        <w:tblStyle w:val="TableGrid"/>
        <w:tblW w:w="9776" w:type="dxa"/>
        <w:tblCellMar>
          <w:top w:w="108" w:type="dxa"/>
          <w:bottom w:w="108" w:type="dxa"/>
        </w:tblCellMar>
        <w:tblLook w:val="04A0" w:firstRow="1" w:lastRow="0" w:firstColumn="1" w:lastColumn="0" w:noHBand="0" w:noVBand="1"/>
      </w:tblPr>
      <w:tblGrid>
        <w:gridCol w:w="704"/>
        <w:gridCol w:w="9072"/>
      </w:tblGrid>
      <w:tr w:rsidR="00A72D17" w:rsidRPr="002155F0" w14:paraId="623ABFC8" w14:textId="77777777" w:rsidTr="00AA0809">
        <w:tc>
          <w:tcPr>
            <w:tcW w:w="704" w:type="dxa"/>
            <w:tcBorders>
              <w:top w:val="single" w:sz="4" w:space="0" w:color="auto"/>
              <w:bottom w:val="nil"/>
            </w:tcBorders>
          </w:tcPr>
          <w:p w14:paraId="3CF6017D" w14:textId="2F5A313A" w:rsidR="00A72D17" w:rsidRPr="002155F0" w:rsidRDefault="00543BA3" w:rsidP="005526E0">
            <w:pPr>
              <w:rPr>
                <w:rFonts w:ascii="Arial" w:hAnsi="Arial" w:cs="Arial"/>
                <w:b/>
                <w:i/>
                <w:color w:val="000000"/>
                <w:sz w:val="20"/>
                <w:szCs w:val="20"/>
              </w:rPr>
            </w:pPr>
            <w:r w:rsidRPr="002155F0">
              <w:rPr>
                <w:rFonts w:ascii="Arial" w:hAnsi="Arial" w:cs="Arial"/>
                <w:b/>
                <w:i/>
                <w:color w:val="000000"/>
                <w:sz w:val="20"/>
                <w:szCs w:val="20"/>
              </w:rPr>
              <w:t>Q3</w:t>
            </w:r>
          </w:p>
        </w:tc>
        <w:tc>
          <w:tcPr>
            <w:tcW w:w="9072" w:type="dxa"/>
            <w:tcBorders>
              <w:top w:val="single" w:sz="4" w:space="0" w:color="auto"/>
              <w:bottom w:val="nil"/>
            </w:tcBorders>
          </w:tcPr>
          <w:p w14:paraId="44A3FD57" w14:textId="2E287BFA" w:rsidR="00A72D17" w:rsidRPr="002155F0" w:rsidRDefault="00AA0809" w:rsidP="004028DC">
            <w:pPr>
              <w:rPr>
                <w:rFonts w:ascii="Arial" w:hAnsi="Arial" w:cs="Arial"/>
                <w:b/>
                <w:i/>
                <w:color w:val="000000"/>
                <w:sz w:val="20"/>
                <w:szCs w:val="20"/>
              </w:rPr>
            </w:pPr>
            <w:r w:rsidRPr="00AA0809">
              <w:rPr>
                <w:rFonts w:ascii="Arial" w:hAnsi="Arial" w:cs="Arial"/>
                <w:b/>
                <w:i/>
                <w:color w:val="000000"/>
                <w:sz w:val="20"/>
                <w:szCs w:val="20"/>
              </w:rPr>
              <w:t>If not, do you consider this should be kept under review as part of our wider work on FSCS cover for activities relating to investment products?</w:t>
            </w:r>
          </w:p>
        </w:tc>
      </w:tr>
      <w:tr w:rsidR="00A72D17" w:rsidRPr="002155F0" w14:paraId="1180E8D9" w14:textId="77777777" w:rsidTr="004C2855">
        <w:tc>
          <w:tcPr>
            <w:tcW w:w="704" w:type="dxa"/>
            <w:tcBorders>
              <w:top w:val="nil"/>
              <w:bottom w:val="single" w:sz="4" w:space="0" w:color="auto"/>
              <w:right w:val="single" w:sz="4" w:space="0" w:color="auto"/>
            </w:tcBorders>
          </w:tcPr>
          <w:p w14:paraId="02DC38F2" w14:textId="77777777" w:rsidR="00A72D17" w:rsidRPr="002155F0" w:rsidRDefault="00A72D17" w:rsidP="005526E0">
            <w:pPr>
              <w:rPr>
                <w:rFonts w:ascii="Arial" w:hAnsi="Arial" w:cs="Arial"/>
                <w:sz w:val="20"/>
                <w:szCs w:val="20"/>
              </w:rPr>
            </w:pPr>
          </w:p>
        </w:tc>
        <w:tc>
          <w:tcPr>
            <w:tcW w:w="9072" w:type="dxa"/>
            <w:tcBorders>
              <w:top w:val="nil"/>
              <w:left w:val="single" w:sz="4" w:space="0" w:color="auto"/>
              <w:bottom w:val="single" w:sz="4" w:space="0" w:color="auto"/>
            </w:tcBorders>
          </w:tcPr>
          <w:p w14:paraId="35261859" w14:textId="450BEC26" w:rsidR="00186B62" w:rsidRPr="002155F0" w:rsidRDefault="00984545" w:rsidP="00984545">
            <w:pPr>
              <w:spacing w:after="120"/>
              <w:textAlignment w:val="baseline"/>
              <w:rPr>
                <w:rFonts w:ascii="Arial" w:hAnsi="Arial" w:cs="Arial"/>
                <w:sz w:val="20"/>
                <w:szCs w:val="20"/>
              </w:rPr>
            </w:pPr>
            <w:r>
              <w:rPr>
                <w:rFonts w:ascii="Arial" w:hAnsi="Arial" w:cs="Arial"/>
                <w:sz w:val="20"/>
                <w:szCs w:val="20"/>
              </w:rPr>
              <w:t>We can understand that the FCA may wish to review the coverage of FSCS</w:t>
            </w:r>
            <w:r w:rsidR="00232776">
              <w:rPr>
                <w:rFonts w:ascii="Arial" w:hAnsi="Arial" w:cs="Arial"/>
                <w:sz w:val="20"/>
                <w:szCs w:val="20"/>
              </w:rPr>
              <w:t xml:space="preserve"> </w:t>
            </w:r>
            <w:r w:rsidR="00011696">
              <w:rPr>
                <w:rFonts w:ascii="Arial" w:hAnsi="Arial" w:cs="Arial"/>
                <w:sz w:val="20"/>
                <w:szCs w:val="20"/>
              </w:rPr>
              <w:t xml:space="preserve">to ensure it is </w:t>
            </w:r>
            <w:r w:rsidR="00232776">
              <w:rPr>
                <w:rFonts w:ascii="Arial" w:hAnsi="Arial" w:cs="Arial"/>
                <w:sz w:val="20"/>
                <w:szCs w:val="20"/>
              </w:rPr>
              <w:t>providing the best protection for retail investors</w:t>
            </w:r>
            <w:r w:rsidR="008674D6">
              <w:rPr>
                <w:rFonts w:ascii="Arial" w:hAnsi="Arial" w:cs="Arial"/>
                <w:sz w:val="20"/>
                <w:szCs w:val="20"/>
              </w:rPr>
              <w:t xml:space="preserve"> and is fair for all firms distributing products covered by FSCS</w:t>
            </w:r>
            <w:r w:rsidR="00232776">
              <w:rPr>
                <w:rFonts w:ascii="Arial" w:hAnsi="Arial" w:cs="Arial"/>
                <w:sz w:val="20"/>
                <w:szCs w:val="20"/>
              </w:rPr>
              <w:t xml:space="preserve">. </w:t>
            </w:r>
            <w:r>
              <w:rPr>
                <w:rFonts w:ascii="Arial" w:hAnsi="Arial" w:cs="Arial"/>
                <w:sz w:val="20"/>
                <w:szCs w:val="20"/>
              </w:rPr>
              <w:t xml:space="preserve">However, we believe that </w:t>
            </w:r>
            <w:r w:rsidR="008674D6">
              <w:rPr>
                <w:rFonts w:ascii="Arial" w:hAnsi="Arial" w:cs="Arial"/>
                <w:sz w:val="20"/>
                <w:szCs w:val="20"/>
              </w:rPr>
              <w:t>there should be a comprehensive</w:t>
            </w:r>
            <w:r>
              <w:rPr>
                <w:rFonts w:ascii="Arial" w:hAnsi="Arial" w:cs="Arial"/>
                <w:sz w:val="20"/>
                <w:szCs w:val="20"/>
              </w:rPr>
              <w:t xml:space="preserve"> review</w:t>
            </w:r>
            <w:r w:rsidR="008674D6">
              <w:rPr>
                <w:rFonts w:ascii="Arial" w:hAnsi="Arial" w:cs="Arial"/>
                <w:sz w:val="20"/>
                <w:szCs w:val="20"/>
              </w:rPr>
              <w:t>,</w:t>
            </w:r>
            <w:r>
              <w:rPr>
                <w:rFonts w:ascii="Arial" w:hAnsi="Arial" w:cs="Arial"/>
                <w:sz w:val="20"/>
                <w:szCs w:val="20"/>
              </w:rPr>
              <w:t xml:space="preserve"> conducted holistically, across all </w:t>
            </w:r>
            <w:r w:rsidR="00011696">
              <w:rPr>
                <w:rFonts w:ascii="Arial" w:hAnsi="Arial" w:cs="Arial"/>
                <w:sz w:val="20"/>
                <w:szCs w:val="20"/>
              </w:rPr>
              <w:t>investment products</w:t>
            </w:r>
            <w:r>
              <w:rPr>
                <w:rFonts w:ascii="Arial" w:hAnsi="Arial" w:cs="Arial"/>
                <w:sz w:val="20"/>
                <w:szCs w:val="20"/>
              </w:rPr>
              <w:t xml:space="preserve"> covered by FSCS and </w:t>
            </w:r>
            <w:r w:rsidR="00560790">
              <w:rPr>
                <w:rFonts w:ascii="Arial" w:hAnsi="Arial" w:cs="Arial"/>
                <w:sz w:val="20"/>
                <w:szCs w:val="20"/>
              </w:rPr>
              <w:t>changes to the coverage of FSCS</w:t>
            </w:r>
            <w:r w:rsidR="00206E03">
              <w:rPr>
                <w:rFonts w:ascii="Arial" w:hAnsi="Arial" w:cs="Arial"/>
                <w:sz w:val="20"/>
                <w:szCs w:val="20"/>
              </w:rPr>
              <w:t xml:space="preserve"> should</w:t>
            </w:r>
            <w:r w:rsidR="003E206D">
              <w:rPr>
                <w:rFonts w:ascii="Arial" w:hAnsi="Arial" w:cs="Arial"/>
                <w:sz w:val="20"/>
                <w:szCs w:val="20"/>
              </w:rPr>
              <w:t xml:space="preserve"> not</w:t>
            </w:r>
            <w:r w:rsidR="00206E03">
              <w:rPr>
                <w:rFonts w:ascii="Arial" w:hAnsi="Arial" w:cs="Arial"/>
                <w:sz w:val="20"/>
                <w:szCs w:val="20"/>
              </w:rPr>
              <w:t xml:space="preserve"> be undertaken</w:t>
            </w:r>
            <w:r>
              <w:rPr>
                <w:rFonts w:ascii="Arial" w:hAnsi="Arial" w:cs="Arial"/>
                <w:sz w:val="20"/>
                <w:szCs w:val="20"/>
              </w:rPr>
              <w:t xml:space="preserve"> on a piecemeal basis.</w:t>
            </w:r>
          </w:p>
        </w:tc>
      </w:tr>
    </w:tbl>
    <w:p w14:paraId="1971907F" w14:textId="77777777" w:rsidR="00A72D17" w:rsidRPr="002155F0" w:rsidRDefault="00A72D17" w:rsidP="00560790">
      <w:pPr>
        <w:spacing w:after="0"/>
        <w:rPr>
          <w:rFonts w:ascii="Arial" w:hAnsi="Arial" w:cs="Arial"/>
          <w:sz w:val="20"/>
          <w:szCs w:val="20"/>
        </w:rPr>
      </w:pPr>
    </w:p>
    <w:tbl>
      <w:tblPr>
        <w:tblStyle w:val="TableGrid"/>
        <w:tblW w:w="9776" w:type="dxa"/>
        <w:tblCellMar>
          <w:top w:w="108" w:type="dxa"/>
          <w:bottom w:w="108" w:type="dxa"/>
        </w:tblCellMar>
        <w:tblLook w:val="04A0" w:firstRow="1" w:lastRow="0" w:firstColumn="1" w:lastColumn="0" w:noHBand="0" w:noVBand="1"/>
      </w:tblPr>
      <w:tblGrid>
        <w:gridCol w:w="704"/>
        <w:gridCol w:w="9072"/>
      </w:tblGrid>
      <w:tr w:rsidR="00BF2583" w:rsidRPr="002155F0" w14:paraId="7E5281EF" w14:textId="77777777" w:rsidTr="00D5043E">
        <w:tc>
          <w:tcPr>
            <w:tcW w:w="704" w:type="dxa"/>
            <w:tcBorders>
              <w:top w:val="single" w:sz="4" w:space="0" w:color="auto"/>
              <w:bottom w:val="nil"/>
            </w:tcBorders>
          </w:tcPr>
          <w:p w14:paraId="2768E556" w14:textId="1BF043A8" w:rsidR="00BF2583" w:rsidRPr="002155F0" w:rsidRDefault="00BF2583" w:rsidP="005526E0">
            <w:pPr>
              <w:rPr>
                <w:rFonts w:ascii="Arial" w:hAnsi="Arial" w:cs="Arial"/>
                <w:b/>
                <w:i/>
                <w:color w:val="000000"/>
                <w:sz w:val="20"/>
                <w:szCs w:val="20"/>
              </w:rPr>
            </w:pPr>
            <w:r w:rsidRPr="002155F0">
              <w:rPr>
                <w:rFonts w:ascii="Arial" w:hAnsi="Arial" w:cs="Arial"/>
                <w:b/>
                <w:i/>
                <w:color w:val="000000"/>
                <w:sz w:val="20"/>
                <w:szCs w:val="20"/>
              </w:rPr>
              <w:t>Q4</w:t>
            </w:r>
          </w:p>
        </w:tc>
        <w:tc>
          <w:tcPr>
            <w:tcW w:w="9072" w:type="dxa"/>
            <w:tcBorders>
              <w:top w:val="single" w:sz="4" w:space="0" w:color="auto"/>
              <w:bottom w:val="nil"/>
            </w:tcBorders>
          </w:tcPr>
          <w:p w14:paraId="7E32CF95" w14:textId="3CE0B345" w:rsidR="00BF2583" w:rsidRPr="002155F0" w:rsidRDefault="00D5043E" w:rsidP="004028DC">
            <w:pPr>
              <w:rPr>
                <w:rFonts w:ascii="Arial" w:hAnsi="Arial" w:cs="Arial"/>
                <w:b/>
                <w:i/>
                <w:color w:val="000000"/>
                <w:sz w:val="20"/>
                <w:szCs w:val="20"/>
              </w:rPr>
            </w:pPr>
            <w:r w:rsidRPr="00D5043E">
              <w:rPr>
                <w:rFonts w:ascii="Arial" w:hAnsi="Arial" w:cs="Arial"/>
                <w:b/>
                <w:i/>
                <w:color w:val="000000"/>
                <w:sz w:val="20"/>
                <w:szCs w:val="20"/>
              </w:rPr>
              <w:t>Are there other amendments to FCA rules, for example, on distribution and the operation of LTAFs, that you would make if FSCS coverage was limited, to enhance consumer protection?</w:t>
            </w:r>
          </w:p>
        </w:tc>
      </w:tr>
      <w:tr w:rsidR="00BF2583" w:rsidRPr="002155F0" w14:paraId="4F66036C" w14:textId="77777777" w:rsidTr="005526E0">
        <w:tc>
          <w:tcPr>
            <w:tcW w:w="704" w:type="dxa"/>
            <w:tcBorders>
              <w:top w:val="nil"/>
              <w:bottom w:val="single" w:sz="4" w:space="0" w:color="auto"/>
              <w:right w:val="single" w:sz="4" w:space="0" w:color="auto"/>
            </w:tcBorders>
          </w:tcPr>
          <w:p w14:paraId="3E4FA2F0" w14:textId="77777777" w:rsidR="00BF2583" w:rsidRPr="002155F0" w:rsidRDefault="00BF2583" w:rsidP="005526E0">
            <w:pPr>
              <w:rPr>
                <w:rFonts w:ascii="Arial" w:hAnsi="Arial" w:cs="Arial"/>
                <w:sz w:val="20"/>
                <w:szCs w:val="20"/>
              </w:rPr>
            </w:pPr>
          </w:p>
        </w:tc>
        <w:tc>
          <w:tcPr>
            <w:tcW w:w="9072" w:type="dxa"/>
            <w:tcBorders>
              <w:top w:val="nil"/>
              <w:left w:val="single" w:sz="4" w:space="0" w:color="auto"/>
              <w:bottom w:val="single" w:sz="4" w:space="0" w:color="auto"/>
            </w:tcBorders>
          </w:tcPr>
          <w:p w14:paraId="102AA76F" w14:textId="312C1508" w:rsidR="00D6478F" w:rsidRPr="002155F0" w:rsidRDefault="00232776" w:rsidP="005526E0">
            <w:pPr>
              <w:spacing w:after="120"/>
              <w:rPr>
                <w:rFonts w:ascii="Arial" w:hAnsi="Arial" w:cs="Arial"/>
                <w:sz w:val="20"/>
                <w:szCs w:val="20"/>
              </w:rPr>
            </w:pPr>
            <w:r>
              <w:rPr>
                <w:rFonts w:ascii="Arial" w:hAnsi="Arial" w:cs="Arial"/>
                <w:sz w:val="20"/>
                <w:szCs w:val="20"/>
              </w:rPr>
              <w:t>We believe the best protection for consumers is to include LTAFs within FSCS.</w:t>
            </w:r>
          </w:p>
        </w:tc>
      </w:tr>
    </w:tbl>
    <w:p w14:paraId="179E259F" w14:textId="77777777" w:rsidR="00BF2583" w:rsidRPr="002155F0" w:rsidRDefault="00BF2583" w:rsidP="00BF2583">
      <w:pPr>
        <w:rPr>
          <w:rFonts w:ascii="Arial" w:hAnsi="Arial" w:cs="Arial"/>
          <w:sz w:val="20"/>
          <w:szCs w:val="20"/>
        </w:rPr>
      </w:pPr>
    </w:p>
    <w:sectPr w:rsidR="00BF2583" w:rsidRPr="002155F0" w:rsidSect="00795984">
      <w:headerReference w:type="even" r:id="rId20"/>
      <w:headerReference w:type="default" r:id="rId21"/>
      <w:footerReference w:type="default" r:id="rId22"/>
      <w:headerReference w:type="first" r:id="rId23"/>
      <w:pgSz w:w="11906" w:h="16838"/>
      <w:pgMar w:top="2007" w:right="720" w:bottom="720" w:left="72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41747" w14:textId="77777777" w:rsidR="00083E9B" w:rsidRDefault="00083E9B" w:rsidP="00C17DBE">
      <w:pPr>
        <w:spacing w:after="0" w:line="240" w:lineRule="auto"/>
      </w:pPr>
      <w:r>
        <w:separator/>
      </w:r>
    </w:p>
  </w:endnote>
  <w:endnote w:type="continuationSeparator" w:id="0">
    <w:p w14:paraId="78D224C0" w14:textId="77777777" w:rsidR="00083E9B" w:rsidRDefault="00083E9B" w:rsidP="00C17DBE">
      <w:pPr>
        <w:spacing w:after="0" w:line="240" w:lineRule="auto"/>
      </w:pPr>
      <w:r>
        <w:continuationSeparator/>
      </w:r>
    </w:p>
  </w:endnote>
  <w:endnote w:type="continuationNotice" w:id="1">
    <w:p w14:paraId="0B678938" w14:textId="77777777" w:rsidR="00083E9B" w:rsidRDefault="00083E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umnst777 Lt B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C0337" w14:textId="77777777" w:rsidR="00C80BE2" w:rsidRDefault="00C80B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716694985"/>
      <w:docPartObj>
        <w:docPartGallery w:val="Page Numbers (Bottom of Page)"/>
        <w:docPartUnique/>
      </w:docPartObj>
    </w:sdtPr>
    <w:sdtContent>
      <w:sdt>
        <w:sdtPr>
          <w:rPr>
            <w:rFonts w:ascii="Arial" w:hAnsi="Arial" w:cs="Arial"/>
            <w:sz w:val="20"/>
            <w:szCs w:val="20"/>
          </w:rPr>
          <w:id w:val="440727011"/>
          <w:docPartObj>
            <w:docPartGallery w:val="Page Numbers (Top of Page)"/>
            <w:docPartUnique/>
          </w:docPartObj>
        </w:sdtPr>
        <w:sdtContent>
          <w:p w14:paraId="4099E763" w14:textId="5AC08E47" w:rsidR="007B45B8" w:rsidRDefault="007B45B8" w:rsidP="007B45B8">
            <w:pPr>
              <w:pStyle w:val="Footer"/>
              <w:jc w:val="center"/>
              <w:rPr>
                <w:rFonts w:ascii="Arial" w:hAnsi="Arial" w:cs="Arial"/>
                <w:sz w:val="20"/>
                <w:szCs w:val="20"/>
              </w:rPr>
            </w:pPr>
          </w:p>
          <w:p w14:paraId="6B4E9EB3" w14:textId="77777777" w:rsidR="007B45B8" w:rsidRPr="00D90194" w:rsidRDefault="007B45B8" w:rsidP="007B45B8">
            <w:pPr>
              <w:pStyle w:val="Footer"/>
              <w:jc w:val="center"/>
              <w:rPr>
                <w:rFonts w:ascii="Arial" w:hAnsi="Arial" w:cs="Arial"/>
                <w:sz w:val="20"/>
                <w:szCs w:val="20"/>
              </w:rPr>
            </w:pPr>
            <w:r w:rsidRPr="00D90194">
              <w:rPr>
                <w:rFonts w:ascii="Arial" w:hAnsi="Arial" w:cs="Arial"/>
                <w:sz w:val="20"/>
                <w:szCs w:val="20"/>
              </w:rPr>
              <w:t xml:space="preserve">Page </w:t>
            </w:r>
            <w:r w:rsidRPr="00D90194">
              <w:rPr>
                <w:rFonts w:ascii="Arial" w:hAnsi="Arial" w:cs="Arial"/>
                <w:bCs/>
                <w:sz w:val="20"/>
                <w:szCs w:val="20"/>
              </w:rPr>
              <w:fldChar w:fldCharType="begin"/>
            </w:r>
            <w:r w:rsidRPr="00D90194">
              <w:rPr>
                <w:rFonts w:ascii="Arial" w:hAnsi="Arial" w:cs="Arial"/>
                <w:bCs/>
                <w:sz w:val="20"/>
                <w:szCs w:val="20"/>
              </w:rPr>
              <w:instrText xml:space="preserve"> PAGE </w:instrText>
            </w:r>
            <w:r w:rsidRPr="00D90194">
              <w:rPr>
                <w:rFonts w:ascii="Arial" w:hAnsi="Arial" w:cs="Arial"/>
                <w:bCs/>
                <w:sz w:val="20"/>
                <w:szCs w:val="20"/>
              </w:rPr>
              <w:fldChar w:fldCharType="separate"/>
            </w:r>
            <w:r>
              <w:rPr>
                <w:rFonts w:ascii="Arial" w:hAnsi="Arial" w:cs="Arial"/>
                <w:bCs/>
                <w:sz w:val="20"/>
                <w:szCs w:val="20"/>
              </w:rPr>
              <w:t>3</w:t>
            </w:r>
            <w:r w:rsidRPr="00D90194">
              <w:rPr>
                <w:rFonts w:ascii="Arial" w:hAnsi="Arial" w:cs="Arial"/>
                <w:bCs/>
                <w:sz w:val="20"/>
                <w:szCs w:val="20"/>
              </w:rPr>
              <w:fldChar w:fldCharType="end"/>
            </w:r>
            <w:r w:rsidRPr="00D90194">
              <w:rPr>
                <w:rFonts w:ascii="Arial" w:hAnsi="Arial" w:cs="Arial"/>
                <w:sz w:val="20"/>
                <w:szCs w:val="20"/>
              </w:rPr>
              <w:t xml:space="preserve"> of </w:t>
            </w:r>
            <w:r w:rsidRPr="00D90194">
              <w:rPr>
                <w:rFonts w:ascii="Arial" w:hAnsi="Arial" w:cs="Arial"/>
                <w:bCs/>
                <w:sz w:val="20"/>
                <w:szCs w:val="20"/>
              </w:rPr>
              <w:fldChar w:fldCharType="begin"/>
            </w:r>
            <w:r w:rsidRPr="00D90194">
              <w:rPr>
                <w:rFonts w:ascii="Arial" w:hAnsi="Arial" w:cs="Arial"/>
                <w:bCs/>
                <w:sz w:val="20"/>
                <w:szCs w:val="20"/>
              </w:rPr>
              <w:instrText xml:space="preserve"> NUMPAGES  </w:instrText>
            </w:r>
            <w:r w:rsidRPr="00D90194">
              <w:rPr>
                <w:rFonts w:ascii="Arial" w:hAnsi="Arial" w:cs="Arial"/>
                <w:bCs/>
                <w:sz w:val="20"/>
                <w:szCs w:val="20"/>
              </w:rPr>
              <w:fldChar w:fldCharType="separate"/>
            </w:r>
            <w:r>
              <w:rPr>
                <w:rFonts w:ascii="Arial" w:hAnsi="Arial" w:cs="Arial"/>
                <w:bCs/>
                <w:sz w:val="20"/>
                <w:szCs w:val="20"/>
              </w:rPr>
              <w:t>9</w:t>
            </w:r>
            <w:r w:rsidRPr="00D90194">
              <w:rPr>
                <w:rFonts w:ascii="Arial" w:hAnsi="Arial" w:cs="Arial"/>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3257C" w14:textId="77777777" w:rsidR="00C80BE2" w:rsidRDefault="00C80B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764063523"/>
      <w:docPartObj>
        <w:docPartGallery w:val="Page Numbers (Bottom of Page)"/>
        <w:docPartUnique/>
      </w:docPartObj>
    </w:sdtPr>
    <w:sdtContent>
      <w:sdt>
        <w:sdtPr>
          <w:rPr>
            <w:rFonts w:ascii="Arial" w:hAnsi="Arial" w:cs="Arial"/>
            <w:sz w:val="20"/>
            <w:szCs w:val="20"/>
          </w:rPr>
          <w:id w:val="593912230"/>
          <w:docPartObj>
            <w:docPartGallery w:val="Page Numbers (Top of Page)"/>
            <w:docPartUnique/>
          </w:docPartObj>
        </w:sdtPr>
        <w:sdtContent>
          <w:p w14:paraId="227213F2" w14:textId="128C72BA" w:rsidR="007B45B8" w:rsidRDefault="007B45B8" w:rsidP="00244E22">
            <w:pPr>
              <w:pStyle w:val="Footer"/>
              <w:jc w:val="center"/>
              <w:rPr>
                <w:rFonts w:ascii="Arial" w:hAnsi="Arial" w:cs="Arial"/>
                <w:sz w:val="20"/>
                <w:szCs w:val="20"/>
              </w:rPr>
            </w:pPr>
          </w:p>
          <w:p w14:paraId="1548B575" w14:textId="21465686" w:rsidR="00244E22" w:rsidRPr="00D90194" w:rsidRDefault="00244E22" w:rsidP="00244E22">
            <w:pPr>
              <w:pStyle w:val="Footer"/>
              <w:jc w:val="center"/>
              <w:rPr>
                <w:rFonts w:ascii="Arial" w:hAnsi="Arial" w:cs="Arial"/>
                <w:sz w:val="20"/>
                <w:szCs w:val="20"/>
              </w:rPr>
            </w:pPr>
            <w:r w:rsidRPr="00D90194">
              <w:rPr>
                <w:rFonts w:ascii="Arial" w:hAnsi="Arial" w:cs="Arial"/>
                <w:sz w:val="20"/>
                <w:szCs w:val="20"/>
              </w:rPr>
              <w:t xml:space="preserve">Page </w:t>
            </w:r>
            <w:r w:rsidRPr="00D90194">
              <w:rPr>
                <w:rFonts w:ascii="Arial" w:hAnsi="Arial" w:cs="Arial"/>
                <w:bCs/>
                <w:sz w:val="20"/>
                <w:szCs w:val="20"/>
              </w:rPr>
              <w:fldChar w:fldCharType="begin"/>
            </w:r>
            <w:r w:rsidRPr="00D90194">
              <w:rPr>
                <w:rFonts w:ascii="Arial" w:hAnsi="Arial" w:cs="Arial"/>
                <w:bCs/>
                <w:sz w:val="20"/>
                <w:szCs w:val="20"/>
              </w:rPr>
              <w:instrText xml:space="preserve"> PAGE </w:instrText>
            </w:r>
            <w:r w:rsidRPr="00D90194">
              <w:rPr>
                <w:rFonts w:ascii="Arial" w:hAnsi="Arial" w:cs="Arial"/>
                <w:bCs/>
                <w:sz w:val="20"/>
                <w:szCs w:val="20"/>
              </w:rPr>
              <w:fldChar w:fldCharType="separate"/>
            </w:r>
            <w:r>
              <w:rPr>
                <w:rFonts w:ascii="Arial" w:hAnsi="Arial" w:cs="Arial"/>
                <w:bCs/>
                <w:sz w:val="20"/>
                <w:szCs w:val="20"/>
              </w:rPr>
              <w:t>4</w:t>
            </w:r>
            <w:r w:rsidRPr="00D90194">
              <w:rPr>
                <w:rFonts w:ascii="Arial" w:hAnsi="Arial" w:cs="Arial"/>
                <w:bCs/>
                <w:sz w:val="20"/>
                <w:szCs w:val="20"/>
              </w:rPr>
              <w:fldChar w:fldCharType="end"/>
            </w:r>
            <w:r w:rsidRPr="00D90194">
              <w:rPr>
                <w:rFonts w:ascii="Arial" w:hAnsi="Arial" w:cs="Arial"/>
                <w:sz w:val="20"/>
                <w:szCs w:val="20"/>
              </w:rPr>
              <w:t xml:space="preserve"> of </w:t>
            </w:r>
            <w:r w:rsidRPr="00D90194">
              <w:rPr>
                <w:rFonts w:ascii="Arial" w:hAnsi="Arial" w:cs="Arial"/>
                <w:bCs/>
                <w:sz w:val="20"/>
                <w:szCs w:val="20"/>
              </w:rPr>
              <w:fldChar w:fldCharType="begin"/>
            </w:r>
            <w:r w:rsidRPr="00D90194">
              <w:rPr>
                <w:rFonts w:ascii="Arial" w:hAnsi="Arial" w:cs="Arial"/>
                <w:bCs/>
                <w:sz w:val="20"/>
                <w:szCs w:val="20"/>
              </w:rPr>
              <w:instrText xml:space="preserve"> NUMPAGES  </w:instrText>
            </w:r>
            <w:r w:rsidRPr="00D90194">
              <w:rPr>
                <w:rFonts w:ascii="Arial" w:hAnsi="Arial" w:cs="Arial"/>
                <w:bCs/>
                <w:sz w:val="20"/>
                <w:szCs w:val="20"/>
              </w:rPr>
              <w:fldChar w:fldCharType="separate"/>
            </w:r>
            <w:r>
              <w:rPr>
                <w:rFonts w:ascii="Arial" w:hAnsi="Arial" w:cs="Arial"/>
                <w:bCs/>
                <w:sz w:val="20"/>
                <w:szCs w:val="20"/>
              </w:rPr>
              <w:t>17</w:t>
            </w:r>
            <w:r w:rsidRPr="00D90194">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EB6C2" w14:textId="77777777" w:rsidR="00083E9B" w:rsidRDefault="00083E9B" w:rsidP="00C17DBE">
      <w:pPr>
        <w:spacing w:after="0" w:line="240" w:lineRule="auto"/>
      </w:pPr>
      <w:r>
        <w:separator/>
      </w:r>
    </w:p>
  </w:footnote>
  <w:footnote w:type="continuationSeparator" w:id="0">
    <w:p w14:paraId="55C40218" w14:textId="77777777" w:rsidR="00083E9B" w:rsidRDefault="00083E9B" w:rsidP="00C17DBE">
      <w:pPr>
        <w:spacing w:after="0" w:line="240" w:lineRule="auto"/>
      </w:pPr>
      <w:r>
        <w:continuationSeparator/>
      </w:r>
    </w:p>
  </w:footnote>
  <w:footnote w:type="continuationNotice" w:id="1">
    <w:p w14:paraId="6C8F4E4C" w14:textId="77777777" w:rsidR="00083E9B" w:rsidRDefault="00083E9B">
      <w:pPr>
        <w:spacing w:after="0" w:line="240" w:lineRule="auto"/>
      </w:pPr>
    </w:p>
  </w:footnote>
  <w:footnote w:id="2">
    <w:p w14:paraId="6CFB7517" w14:textId="67A90CFB" w:rsidR="00212239" w:rsidRPr="000F64DE" w:rsidRDefault="00212239" w:rsidP="00212239">
      <w:pPr>
        <w:pStyle w:val="FootnoteText"/>
        <w:rPr>
          <w:rFonts w:ascii="Arial" w:hAnsi="Arial" w:cs="Arial"/>
          <w:sz w:val="18"/>
          <w:szCs w:val="18"/>
        </w:rPr>
      </w:pPr>
      <w:r w:rsidRPr="000F64DE">
        <w:rPr>
          <w:rStyle w:val="FootnoteReference"/>
          <w:rFonts w:ascii="Arial" w:hAnsi="Arial" w:cs="Arial"/>
          <w:sz w:val="18"/>
          <w:szCs w:val="18"/>
        </w:rPr>
        <w:footnoteRef/>
      </w:r>
      <w:r w:rsidRPr="000F64DE">
        <w:rPr>
          <w:rFonts w:ascii="Arial" w:hAnsi="Arial" w:cs="Arial"/>
          <w:sz w:val="18"/>
          <w:szCs w:val="18"/>
        </w:rPr>
        <w:t xml:space="preserve"> </w:t>
      </w:r>
      <w:r w:rsidR="00ED5E92" w:rsidRPr="00ED5E92">
        <w:rPr>
          <w:rFonts w:ascii="Arial" w:hAnsi="Arial" w:cs="Arial"/>
          <w:sz w:val="18"/>
          <w:szCs w:val="18"/>
        </w:rPr>
        <w:t>The Association of Real Estate Funds represents the UK real estate funds industry and has around 60 member funds with a collective net asset value of more than £64 billion under management on behalf of their investors. The Association is committed to promoting transparency in performance measurement and fund reporting through the AREF Code of Practice, the MSCI/AREF UK Quarterly Property Funds Index and the AREF Property Fund Vision Handbook.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F94C3" w14:textId="6B04293C" w:rsidR="00C80BE2" w:rsidRDefault="00000000">
    <w:pPr>
      <w:pStyle w:val="Header"/>
    </w:pPr>
    <w:r>
      <w:rPr>
        <w:noProof/>
      </w:rPr>
      <w:pict w14:anchorId="0127B2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6443094" o:spid="_x0000_s1026" type="#_x0000_t136" style="position:absolute;margin-left:0;margin-top:0;width:627.05pt;height:110.65pt;rotation:315;z-index:-251650044;mso-position-horizontal:center;mso-position-horizontal-relative:margin;mso-position-vertical:center;mso-position-vertical-relative:margin" o:allowincell="f" fillcolor="silver" stroked="f">
          <v:fill opacity=".5"/>
          <v:textpath style="font-family:&quot;Calibri&quot;;font-size:1pt" string="CONFIDENTIAL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F7EC" w14:textId="13B12743" w:rsidR="007B45B8" w:rsidRPr="007B45B8" w:rsidRDefault="00000000" w:rsidP="007B45B8">
    <w:pPr>
      <w:pStyle w:val="Header"/>
    </w:pPr>
    <w:r>
      <w:rPr>
        <w:noProof/>
      </w:rPr>
      <w:pict w14:anchorId="45F2EE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6443095" o:spid="_x0000_s1027" type="#_x0000_t136" style="position:absolute;margin-left:0;margin-top:0;width:627.05pt;height:110.65pt;rotation:315;z-index:-251647996;mso-position-horizontal:center;mso-position-horizontal-relative:margin;mso-position-vertical:center;mso-position-vertical-relative:margin" o:allowincell="f" fillcolor="silver" stroked="f">
          <v:fill opacity=".5"/>
          <v:textpath style="font-family:&quot;Calibri&quot;;font-size:1pt" string="CONFIDENTIAL DRAFT"/>
          <w10:wrap anchorx="margin" anchory="margin"/>
        </v:shape>
      </w:pict>
    </w:r>
    <w:r w:rsidR="007B45B8" w:rsidRPr="000734B4">
      <w:rPr>
        <w:b/>
        <w:noProof/>
        <w:lang w:eastAsia="en-GB"/>
      </w:rPr>
      <w:drawing>
        <wp:anchor distT="0" distB="0" distL="114300" distR="114300" simplePos="0" relativeHeight="251662340" behindDoc="0" locked="0" layoutInCell="1" allowOverlap="1" wp14:anchorId="6DA1E07F" wp14:editId="39B156D4">
          <wp:simplePos x="0" y="0"/>
          <wp:positionH relativeFrom="column">
            <wp:posOffset>-106680</wp:posOffset>
          </wp:positionH>
          <wp:positionV relativeFrom="paragraph">
            <wp:posOffset>-635</wp:posOffset>
          </wp:positionV>
          <wp:extent cx="1685925" cy="1039495"/>
          <wp:effectExtent l="0" t="0" r="9525" b="8255"/>
          <wp:wrapThrough wrapText="bothSides">
            <wp:wrapPolygon edited="0">
              <wp:start x="0" y="0"/>
              <wp:lineTo x="0" y="21376"/>
              <wp:lineTo x="21478" y="21376"/>
              <wp:lineTo x="21478" y="0"/>
              <wp:lineTo x="0" y="0"/>
            </wp:wrapPolygon>
          </wp:wrapThrough>
          <wp:docPr id="9" name="Picture 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5925" cy="10394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0A4F" w14:textId="19EE6411" w:rsidR="00C80BE2" w:rsidRDefault="00000000">
    <w:pPr>
      <w:pStyle w:val="Header"/>
    </w:pPr>
    <w:r>
      <w:rPr>
        <w:noProof/>
      </w:rPr>
      <w:pict w14:anchorId="33F004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6443093" o:spid="_x0000_s1025" type="#_x0000_t136" style="position:absolute;margin-left:0;margin-top:0;width:627.05pt;height:110.65pt;rotation:315;z-index:-251652092;mso-position-horizontal:center;mso-position-horizontal-relative:margin;mso-position-vertical:center;mso-position-vertical-relative:margin" o:allowincell="f" fillcolor="silver" stroked="f">
          <v:fill opacity=".5"/>
          <v:textpath style="font-family:&quot;Calibri&quot;;font-size:1pt" string="CONFIDENTIAL 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0B9C" w14:textId="0C47E989" w:rsidR="00C80BE2" w:rsidRDefault="00000000">
    <w:pPr>
      <w:pStyle w:val="Header"/>
    </w:pPr>
    <w:r>
      <w:rPr>
        <w:noProof/>
      </w:rPr>
      <w:pict w14:anchorId="16BA83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6443097" o:spid="_x0000_s1029" type="#_x0000_t136" style="position:absolute;margin-left:0;margin-top:0;width:627.05pt;height:110.65pt;rotation:315;z-index:-251643900;mso-position-horizontal:center;mso-position-horizontal-relative:margin;mso-position-vertical:center;mso-position-vertical-relative:margin" o:allowincell="f" fillcolor="silver" stroked="f">
          <v:fill opacity=".5"/>
          <v:textpath style="font-family:&quot;Calibri&quot;;font-size:1pt" string="CONFIDENTIAL 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77C54" w14:textId="236D3C2F" w:rsidR="00BF6162" w:rsidRPr="00BF6162" w:rsidRDefault="00000000" w:rsidP="00BF6162">
    <w:pPr>
      <w:pStyle w:val="Header"/>
    </w:pPr>
    <w:r>
      <w:rPr>
        <w:noProof/>
      </w:rPr>
      <w:pict w14:anchorId="53EC18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6443098" o:spid="_x0000_s1030" type="#_x0000_t136" style="position:absolute;margin-left:0;margin-top:0;width:627.05pt;height:110.65pt;rotation:315;z-index:-251641852;mso-position-horizontal:center;mso-position-horizontal-relative:margin;mso-position-vertical:center;mso-position-vertical-relative:margin" o:allowincell="f" fillcolor="silver" stroked="f">
          <v:fill opacity=".5"/>
          <v:textpath style="font-family:&quot;Calibri&quot;;font-size:1pt" string="CONFIDENTIAL DRAFT"/>
          <w10:wrap anchorx="margin" anchory="margin"/>
        </v:shape>
      </w:pict>
    </w:r>
    <w:r w:rsidR="00F751C1" w:rsidRPr="000734B4">
      <w:rPr>
        <w:b/>
        <w:noProof/>
        <w:lang w:eastAsia="en-GB"/>
      </w:rPr>
      <w:drawing>
        <wp:anchor distT="0" distB="0" distL="114300" distR="114300" simplePos="0" relativeHeight="251660292" behindDoc="0" locked="0" layoutInCell="1" allowOverlap="1" wp14:anchorId="30436CB7" wp14:editId="033C540E">
          <wp:simplePos x="0" y="0"/>
          <wp:positionH relativeFrom="column">
            <wp:posOffset>-117898</wp:posOffset>
          </wp:positionH>
          <wp:positionV relativeFrom="paragraph">
            <wp:posOffset>-68157</wp:posOffset>
          </wp:positionV>
          <wp:extent cx="1685925" cy="1039495"/>
          <wp:effectExtent l="0" t="0" r="9525" b="8255"/>
          <wp:wrapThrough wrapText="bothSides">
            <wp:wrapPolygon edited="0">
              <wp:start x="0" y="0"/>
              <wp:lineTo x="0" y="21376"/>
              <wp:lineTo x="21478" y="21376"/>
              <wp:lineTo x="21478" y="0"/>
              <wp:lineTo x="0" y="0"/>
            </wp:wrapPolygon>
          </wp:wrapThrough>
          <wp:docPr id="17" name="Picture 1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5925" cy="103949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91F0" w14:textId="28D7E5A4" w:rsidR="00C80BE2" w:rsidRDefault="00000000">
    <w:pPr>
      <w:pStyle w:val="Header"/>
    </w:pPr>
    <w:r>
      <w:rPr>
        <w:noProof/>
      </w:rPr>
      <w:pict w14:anchorId="0DFC73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6443096" o:spid="_x0000_s1028" type="#_x0000_t136" style="position:absolute;margin-left:0;margin-top:0;width:627.05pt;height:110.65pt;rotation:315;z-index:-251645948;mso-position-horizontal:center;mso-position-horizontal-relative:margin;mso-position-vertical:center;mso-position-vertical-relative:margin" o:allowincell="f" fillcolor="silver" stroked="f">
          <v:fill opacity=".5"/>
          <v:textpath style="font-family:&quot;Calibri&quot;;font-size:1pt" string="CONFIDENTIAL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A6F"/>
    <w:multiLevelType w:val="hybridMultilevel"/>
    <w:tmpl w:val="42FA0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55D4E"/>
    <w:multiLevelType w:val="multilevel"/>
    <w:tmpl w:val="A3487910"/>
    <w:styleLink w:val="Bullets"/>
    <w:lvl w:ilvl="0">
      <w:start w:val="1"/>
      <w:numFmt w:val="bullet"/>
      <w:pStyle w:val="Bullet"/>
      <w:lvlText w:val=""/>
      <w:lvlJc w:val="left"/>
      <w:pPr>
        <w:tabs>
          <w:tab w:val="num" w:pos="709"/>
        </w:tabs>
        <w:ind w:left="709" w:hanging="709"/>
      </w:pPr>
      <w:rPr>
        <w:rFonts w:ascii="Symbol" w:hAnsi="Symbol" w:hint="default"/>
        <w:color w:val="auto"/>
      </w:rPr>
    </w:lvl>
    <w:lvl w:ilvl="1">
      <w:start w:val="1"/>
      <w:numFmt w:val="bullet"/>
      <w:pStyle w:val="Bullet1"/>
      <w:lvlText w:val=""/>
      <w:lvlJc w:val="left"/>
      <w:pPr>
        <w:tabs>
          <w:tab w:val="num" w:pos="1701"/>
        </w:tabs>
        <w:ind w:left="1701" w:hanging="992"/>
      </w:pPr>
      <w:rPr>
        <w:rFonts w:ascii="Symbol" w:hAnsi="Symbol" w:hint="default"/>
        <w:color w:val="auto"/>
      </w:rPr>
    </w:lvl>
    <w:lvl w:ilvl="2">
      <w:start w:val="1"/>
      <w:numFmt w:val="bullet"/>
      <w:pStyle w:val="Bullet2"/>
      <w:lvlText w:val=""/>
      <w:lvlJc w:val="left"/>
      <w:pPr>
        <w:tabs>
          <w:tab w:val="num" w:pos="1701"/>
        </w:tabs>
        <w:ind w:left="1701" w:hanging="992"/>
      </w:pPr>
      <w:rPr>
        <w:rFonts w:ascii="Symbol" w:hAnsi="Symbol" w:hint="default"/>
        <w:color w:val="auto"/>
      </w:rPr>
    </w:lvl>
    <w:lvl w:ilvl="3">
      <w:start w:val="1"/>
      <w:numFmt w:val="bullet"/>
      <w:pStyle w:val="Bullet3"/>
      <w:lvlText w:val=""/>
      <w:lvlJc w:val="left"/>
      <w:pPr>
        <w:tabs>
          <w:tab w:val="num" w:pos="2410"/>
        </w:tabs>
        <w:ind w:left="2410" w:hanging="709"/>
      </w:pPr>
      <w:rPr>
        <w:rFonts w:ascii="Symbol" w:hAnsi="Symbol" w:hint="default"/>
        <w:color w:val="auto"/>
      </w:rPr>
    </w:lvl>
    <w:lvl w:ilvl="4">
      <w:start w:val="1"/>
      <w:numFmt w:val="bullet"/>
      <w:pStyle w:val="Bullet4"/>
      <w:lvlText w:val=""/>
      <w:lvlJc w:val="left"/>
      <w:pPr>
        <w:tabs>
          <w:tab w:val="num" w:pos="3119"/>
        </w:tabs>
        <w:ind w:left="3119" w:hanging="709"/>
      </w:pPr>
      <w:rPr>
        <w:rFonts w:ascii="Symbol" w:hAnsi="Symbol" w:hint="default"/>
        <w:color w:val="auto"/>
      </w:rPr>
    </w:lvl>
    <w:lvl w:ilvl="5">
      <w:start w:val="1"/>
      <w:numFmt w:val="bullet"/>
      <w:lvlRestart w:val="0"/>
      <w:pStyle w:val="Bullet5"/>
      <w:lvlText w:val=""/>
      <w:lvlJc w:val="left"/>
      <w:pPr>
        <w:tabs>
          <w:tab w:val="num" w:pos="3827"/>
        </w:tabs>
        <w:ind w:left="3827" w:hanging="708"/>
      </w:pPr>
      <w:rPr>
        <w:rFonts w:ascii="Symbol" w:hAnsi="Symbol" w:hint="default"/>
        <w:color w:val="auto"/>
      </w:rPr>
    </w:lvl>
    <w:lvl w:ilvl="6">
      <w:start w:val="1"/>
      <w:numFmt w:val="bullet"/>
      <w:lvlRestart w:val="0"/>
      <w:pStyle w:val="Bullet6"/>
      <w:lvlText w:val=""/>
      <w:lvlJc w:val="left"/>
      <w:pPr>
        <w:tabs>
          <w:tab w:val="num" w:pos="4536"/>
        </w:tabs>
        <w:ind w:left="4536" w:hanging="709"/>
      </w:pPr>
      <w:rPr>
        <w:rFonts w:ascii="Symbol" w:hAnsi="Symbol" w:hint="default"/>
        <w:color w:val="auto"/>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9566BEA"/>
    <w:multiLevelType w:val="hybridMultilevel"/>
    <w:tmpl w:val="6A62B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1922EF"/>
    <w:multiLevelType w:val="hybridMultilevel"/>
    <w:tmpl w:val="E67229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AC942DE"/>
    <w:multiLevelType w:val="multilevel"/>
    <w:tmpl w:val="F456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26410F"/>
    <w:multiLevelType w:val="multilevel"/>
    <w:tmpl w:val="A574E24E"/>
    <w:styleLink w:val="AppendixList"/>
    <w:lvl w:ilvl="0">
      <w:start w:val="1"/>
      <w:numFmt w:val="decimal"/>
      <w:pStyle w:val="Appendix"/>
      <w:suff w:val="nothing"/>
      <w:lvlText w:val="Appendix %1"/>
      <w:lvlJc w:val="left"/>
      <w:pPr>
        <w:ind w:left="0" w:firstLine="0"/>
      </w:pPr>
      <w:rPr>
        <w:rFonts w:hint="default"/>
        <w:b/>
        <w:i w:val="0"/>
        <w:caps/>
      </w:rPr>
    </w:lvl>
    <w:lvl w:ilvl="1">
      <w:start w:val="1"/>
      <w:numFmt w:val="decimal"/>
      <w:pStyle w:val="AppendixPart"/>
      <w:suff w:val="nothing"/>
      <w:lvlText w:val="Part %2"/>
      <w:lvlJc w:val="left"/>
      <w:pPr>
        <w:ind w:left="0" w:firstLine="0"/>
      </w:pPr>
      <w:rPr>
        <w:rFonts w:hint="default"/>
        <w:b/>
        <w:i w:val="0"/>
      </w:rPr>
    </w:lvl>
    <w:lvl w:ilvl="2">
      <w:start w:val="1"/>
      <w:numFmt w:val="decimal"/>
      <w:pStyle w:val="Appendix1Heading"/>
      <w:lvlText w:val="%3"/>
      <w:lvlJc w:val="left"/>
      <w:pPr>
        <w:tabs>
          <w:tab w:val="num" w:pos="709"/>
        </w:tabs>
        <w:ind w:left="709" w:hanging="709"/>
      </w:pPr>
      <w:rPr>
        <w:rFonts w:hint="default"/>
        <w:b w:val="0"/>
        <w:i w:val="0"/>
      </w:rPr>
    </w:lvl>
    <w:lvl w:ilvl="3">
      <w:start w:val="1"/>
      <w:numFmt w:val="decimal"/>
      <w:pStyle w:val="Appendix2Number"/>
      <w:lvlText w:val="%3.%4"/>
      <w:lvlJc w:val="left"/>
      <w:pPr>
        <w:tabs>
          <w:tab w:val="num" w:pos="709"/>
        </w:tabs>
        <w:ind w:left="709" w:hanging="709"/>
      </w:pPr>
      <w:rPr>
        <w:rFonts w:hint="default"/>
        <w:b w:val="0"/>
        <w:i w:val="0"/>
      </w:rPr>
    </w:lvl>
    <w:lvl w:ilvl="4">
      <w:start w:val="1"/>
      <w:numFmt w:val="decimal"/>
      <w:pStyle w:val="Appendix3Number"/>
      <w:lvlText w:val="%3.%4.%5"/>
      <w:lvlJc w:val="left"/>
      <w:pPr>
        <w:tabs>
          <w:tab w:val="num" w:pos="1701"/>
        </w:tabs>
        <w:ind w:left="1701" w:hanging="992"/>
      </w:pPr>
      <w:rPr>
        <w:rFonts w:hint="default"/>
        <w:b w:val="0"/>
        <w:i w:val="0"/>
      </w:rPr>
    </w:lvl>
    <w:lvl w:ilvl="5">
      <w:start w:val="1"/>
      <w:numFmt w:val="lowerLetter"/>
      <w:pStyle w:val="Appendix4Number"/>
      <w:lvlText w:val="(%6)"/>
      <w:lvlJc w:val="left"/>
      <w:pPr>
        <w:tabs>
          <w:tab w:val="num" w:pos="2410"/>
        </w:tabs>
        <w:ind w:left="2410" w:hanging="709"/>
      </w:pPr>
      <w:rPr>
        <w:rFonts w:hint="default"/>
      </w:rPr>
    </w:lvl>
    <w:lvl w:ilvl="6">
      <w:start w:val="1"/>
      <w:numFmt w:val="lowerRoman"/>
      <w:pStyle w:val="Appendix5Number"/>
      <w:lvlText w:val="(%7)"/>
      <w:lvlJc w:val="left"/>
      <w:pPr>
        <w:tabs>
          <w:tab w:val="num" w:pos="3119"/>
        </w:tabs>
        <w:ind w:left="3119" w:hanging="709"/>
      </w:pPr>
      <w:rPr>
        <w:rFonts w:hint="default"/>
      </w:rPr>
    </w:lvl>
    <w:lvl w:ilvl="7">
      <w:start w:val="1"/>
      <w:numFmt w:val="upperLetter"/>
      <w:pStyle w:val="Appendix6Number"/>
      <w:lvlText w:val="(%8)"/>
      <w:lvlJc w:val="left"/>
      <w:pPr>
        <w:tabs>
          <w:tab w:val="num" w:pos="3827"/>
        </w:tabs>
        <w:ind w:left="3827" w:hanging="708"/>
      </w:pPr>
      <w:rPr>
        <w:rFonts w:hint="default"/>
      </w:rPr>
    </w:lvl>
    <w:lvl w:ilvl="8">
      <w:start w:val="1"/>
      <w:numFmt w:val="none"/>
      <w:suff w:val="nothing"/>
      <w:lvlText w:val="%9"/>
      <w:lvlJc w:val="left"/>
      <w:pPr>
        <w:ind w:left="0" w:firstLine="0"/>
      </w:pPr>
      <w:rPr>
        <w:rFonts w:hint="default"/>
      </w:rPr>
    </w:lvl>
  </w:abstractNum>
  <w:abstractNum w:abstractNumId="6" w15:restartNumberingAfterBreak="0">
    <w:nsid w:val="21562836"/>
    <w:multiLevelType w:val="hybridMultilevel"/>
    <w:tmpl w:val="256AAA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B4324C"/>
    <w:multiLevelType w:val="multilevel"/>
    <w:tmpl w:val="A574E24E"/>
    <w:numStyleLink w:val="AppendixList"/>
  </w:abstractNum>
  <w:abstractNum w:abstractNumId="8" w15:restartNumberingAfterBreak="0">
    <w:nsid w:val="2EBB02C2"/>
    <w:multiLevelType w:val="hybridMultilevel"/>
    <w:tmpl w:val="1398ECBE"/>
    <w:lvl w:ilvl="0" w:tplc="B0E4B1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101211"/>
    <w:multiLevelType w:val="hybridMultilevel"/>
    <w:tmpl w:val="5188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5116C7"/>
    <w:multiLevelType w:val="hybridMultilevel"/>
    <w:tmpl w:val="302C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E8115C"/>
    <w:multiLevelType w:val="hybridMultilevel"/>
    <w:tmpl w:val="592C6124"/>
    <w:lvl w:ilvl="0" w:tplc="2B4A2864">
      <w:start w:val="1"/>
      <w:numFmt w:val="bullet"/>
      <w:lvlText w:val=""/>
      <w:lvlJc w:val="left"/>
      <w:pPr>
        <w:ind w:left="720" w:hanging="360"/>
      </w:pPr>
      <w:rPr>
        <w:rFonts w:ascii="Symbol" w:hAnsi="Symbol" w:hint="default"/>
      </w:rPr>
    </w:lvl>
    <w:lvl w:ilvl="1" w:tplc="FCD874CE">
      <w:start w:val="1"/>
      <w:numFmt w:val="bullet"/>
      <w:lvlText w:val="o"/>
      <w:lvlJc w:val="left"/>
      <w:pPr>
        <w:ind w:left="1440" w:hanging="360"/>
      </w:pPr>
      <w:rPr>
        <w:rFonts w:ascii="Courier New" w:hAnsi="Courier New" w:hint="default"/>
      </w:rPr>
    </w:lvl>
    <w:lvl w:ilvl="2" w:tplc="61BAAA12">
      <w:start w:val="1"/>
      <w:numFmt w:val="bullet"/>
      <w:lvlText w:val=""/>
      <w:lvlJc w:val="left"/>
      <w:pPr>
        <w:ind w:left="2160" w:hanging="360"/>
      </w:pPr>
      <w:rPr>
        <w:rFonts w:ascii="Wingdings" w:hAnsi="Wingdings" w:hint="default"/>
      </w:rPr>
    </w:lvl>
    <w:lvl w:ilvl="3" w:tplc="08A284B2">
      <w:start w:val="1"/>
      <w:numFmt w:val="bullet"/>
      <w:lvlText w:val=""/>
      <w:lvlJc w:val="left"/>
      <w:pPr>
        <w:ind w:left="2880" w:hanging="360"/>
      </w:pPr>
      <w:rPr>
        <w:rFonts w:ascii="Symbol" w:hAnsi="Symbol" w:hint="default"/>
      </w:rPr>
    </w:lvl>
    <w:lvl w:ilvl="4" w:tplc="32C281E0">
      <w:start w:val="1"/>
      <w:numFmt w:val="bullet"/>
      <w:lvlText w:val="o"/>
      <w:lvlJc w:val="left"/>
      <w:pPr>
        <w:ind w:left="3600" w:hanging="360"/>
      </w:pPr>
      <w:rPr>
        <w:rFonts w:ascii="Courier New" w:hAnsi="Courier New" w:hint="default"/>
      </w:rPr>
    </w:lvl>
    <w:lvl w:ilvl="5" w:tplc="FE86EDDC">
      <w:start w:val="1"/>
      <w:numFmt w:val="bullet"/>
      <w:lvlText w:val=""/>
      <w:lvlJc w:val="left"/>
      <w:pPr>
        <w:ind w:left="4320" w:hanging="360"/>
      </w:pPr>
      <w:rPr>
        <w:rFonts w:ascii="Wingdings" w:hAnsi="Wingdings" w:hint="default"/>
      </w:rPr>
    </w:lvl>
    <w:lvl w:ilvl="6" w:tplc="8FAA0A14">
      <w:start w:val="1"/>
      <w:numFmt w:val="bullet"/>
      <w:lvlText w:val=""/>
      <w:lvlJc w:val="left"/>
      <w:pPr>
        <w:ind w:left="5040" w:hanging="360"/>
      </w:pPr>
      <w:rPr>
        <w:rFonts w:ascii="Symbol" w:hAnsi="Symbol" w:hint="default"/>
      </w:rPr>
    </w:lvl>
    <w:lvl w:ilvl="7" w:tplc="23107DDE">
      <w:start w:val="1"/>
      <w:numFmt w:val="bullet"/>
      <w:lvlText w:val="o"/>
      <w:lvlJc w:val="left"/>
      <w:pPr>
        <w:ind w:left="5760" w:hanging="360"/>
      </w:pPr>
      <w:rPr>
        <w:rFonts w:ascii="Courier New" w:hAnsi="Courier New" w:hint="default"/>
      </w:rPr>
    </w:lvl>
    <w:lvl w:ilvl="8" w:tplc="120223D8">
      <w:start w:val="1"/>
      <w:numFmt w:val="bullet"/>
      <w:lvlText w:val=""/>
      <w:lvlJc w:val="left"/>
      <w:pPr>
        <w:ind w:left="6480" w:hanging="360"/>
      </w:pPr>
      <w:rPr>
        <w:rFonts w:ascii="Wingdings" w:hAnsi="Wingdings" w:hint="default"/>
      </w:rPr>
    </w:lvl>
  </w:abstractNum>
  <w:abstractNum w:abstractNumId="12" w15:restartNumberingAfterBreak="0">
    <w:nsid w:val="7812208C"/>
    <w:multiLevelType w:val="multilevel"/>
    <w:tmpl w:val="A3487910"/>
    <w:numStyleLink w:val="Bullets"/>
  </w:abstractNum>
  <w:abstractNum w:abstractNumId="13" w15:restartNumberingAfterBreak="0">
    <w:nsid w:val="7A7C2A81"/>
    <w:multiLevelType w:val="hybridMultilevel"/>
    <w:tmpl w:val="9B9E6DEC"/>
    <w:lvl w:ilvl="0" w:tplc="F550B796">
      <w:numFmt w:val="bullet"/>
      <w:lvlText w:val="-"/>
      <w:lvlJc w:val="left"/>
      <w:pPr>
        <w:ind w:left="720" w:hanging="360"/>
      </w:pPr>
      <w:rPr>
        <w:rFonts w:ascii="Calibri" w:eastAsia="Calibri" w:hAnsi="Calibri" w:cs="Calibri"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C540060"/>
    <w:multiLevelType w:val="multilevel"/>
    <w:tmpl w:val="010803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1719418">
    <w:abstractNumId w:val="4"/>
  </w:num>
  <w:num w:numId="2" w16cid:durableId="1611740303">
    <w:abstractNumId w:val="0"/>
  </w:num>
  <w:num w:numId="3" w16cid:durableId="1545558614">
    <w:abstractNumId w:val="8"/>
  </w:num>
  <w:num w:numId="4" w16cid:durableId="967324729">
    <w:abstractNumId w:val="10"/>
  </w:num>
  <w:num w:numId="5" w16cid:durableId="1751000818">
    <w:abstractNumId w:val="5"/>
  </w:num>
  <w:num w:numId="6" w16cid:durableId="795635802">
    <w:abstractNumId w:val="7"/>
    <w:lvlOverride w:ilvl="0">
      <w:lvl w:ilvl="0">
        <w:start w:val="1"/>
        <w:numFmt w:val="decimal"/>
        <w:pStyle w:val="Appendix"/>
        <w:suff w:val="nothing"/>
        <w:lvlText w:val="Appendix %1"/>
        <w:lvlJc w:val="left"/>
        <w:pPr>
          <w:ind w:left="6662" w:firstLine="0"/>
        </w:pPr>
        <w:rPr>
          <w:rFonts w:ascii="Arial" w:hAnsi="Arial" w:cs="Arial" w:hint="default"/>
          <w:b/>
          <w:i w:val="0"/>
          <w:caps/>
          <w:sz w:val="20"/>
          <w:szCs w:val="20"/>
        </w:rPr>
      </w:lvl>
    </w:lvlOverride>
  </w:num>
  <w:num w:numId="7" w16cid:durableId="866722880">
    <w:abstractNumId w:val="1"/>
  </w:num>
  <w:num w:numId="8" w16cid:durableId="1901674147">
    <w:abstractNumId w:val="12"/>
  </w:num>
  <w:num w:numId="9" w16cid:durableId="1953171560">
    <w:abstractNumId w:val="11"/>
  </w:num>
  <w:num w:numId="10" w16cid:durableId="1432242628">
    <w:abstractNumId w:val="6"/>
  </w:num>
  <w:num w:numId="11" w16cid:durableId="317000852">
    <w:abstractNumId w:val="9"/>
  </w:num>
  <w:num w:numId="12" w16cid:durableId="1998991368">
    <w:abstractNumId w:val="14"/>
  </w:num>
  <w:num w:numId="13" w16cid:durableId="1386224347">
    <w:abstractNumId w:val="2"/>
  </w:num>
  <w:num w:numId="14" w16cid:durableId="55208713">
    <w:abstractNumId w:val="3"/>
  </w:num>
  <w:num w:numId="15" w16cid:durableId="17499637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DBE"/>
    <w:rsid w:val="000021F6"/>
    <w:rsid w:val="000024B6"/>
    <w:rsid w:val="00003CA1"/>
    <w:rsid w:val="000057F1"/>
    <w:rsid w:val="000060A8"/>
    <w:rsid w:val="00011696"/>
    <w:rsid w:val="00017C69"/>
    <w:rsid w:val="00024349"/>
    <w:rsid w:val="00024359"/>
    <w:rsid w:val="00027564"/>
    <w:rsid w:val="0002792C"/>
    <w:rsid w:val="00035640"/>
    <w:rsid w:val="00043DB6"/>
    <w:rsid w:val="0005359B"/>
    <w:rsid w:val="00060EEA"/>
    <w:rsid w:val="0006224B"/>
    <w:rsid w:val="00066E66"/>
    <w:rsid w:val="00075D7F"/>
    <w:rsid w:val="000769BB"/>
    <w:rsid w:val="00080B63"/>
    <w:rsid w:val="00083E9B"/>
    <w:rsid w:val="0008678E"/>
    <w:rsid w:val="00094430"/>
    <w:rsid w:val="000965BE"/>
    <w:rsid w:val="000A0F5A"/>
    <w:rsid w:val="000A7AFF"/>
    <w:rsid w:val="000B6268"/>
    <w:rsid w:val="000B789D"/>
    <w:rsid w:val="000D0E51"/>
    <w:rsid w:val="000D2210"/>
    <w:rsid w:val="000D5D72"/>
    <w:rsid w:val="000E040D"/>
    <w:rsid w:val="000E2EC6"/>
    <w:rsid w:val="000E60A8"/>
    <w:rsid w:val="000F2E69"/>
    <w:rsid w:val="000F7247"/>
    <w:rsid w:val="00112916"/>
    <w:rsid w:val="00113381"/>
    <w:rsid w:val="001148EC"/>
    <w:rsid w:val="001230CB"/>
    <w:rsid w:val="00133060"/>
    <w:rsid w:val="0014529A"/>
    <w:rsid w:val="0014581B"/>
    <w:rsid w:val="001522EB"/>
    <w:rsid w:val="00153AD9"/>
    <w:rsid w:val="00153EE9"/>
    <w:rsid w:val="00157B41"/>
    <w:rsid w:val="00165663"/>
    <w:rsid w:val="0016690E"/>
    <w:rsid w:val="00170DF3"/>
    <w:rsid w:val="00186B62"/>
    <w:rsid w:val="00186C3F"/>
    <w:rsid w:val="001A26DF"/>
    <w:rsid w:val="001B20EF"/>
    <w:rsid w:val="001B3584"/>
    <w:rsid w:val="001B7C0A"/>
    <w:rsid w:val="001C1E69"/>
    <w:rsid w:val="001C1E91"/>
    <w:rsid w:val="001E2E2E"/>
    <w:rsid w:val="001E3941"/>
    <w:rsid w:val="001F452F"/>
    <w:rsid w:val="001F4927"/>
    <w:rsid w:val="001F6C00"/>
    <w:rsid w:val="00202F1C"/>
    <w:rsid w:val="00203426"/>
    <w:rsid w:val="0020361F"/>
    <w:rsid w:val="00206E03"/>
    <w:rsid w:val="00207299"/>
    <w:rsid w:val="002077B4"/>
    <w:rsid w:val="002105BC"/>
    <w:rsid w:val="00212239"/>
    <w:rsid w:val="0021396B"/>
    <w:rsid w:val="0021476E"/>
    <w:rsid w:val="002155F0"/>
    <w:rsid w:val="00220254"/>
    <w:rsid w:val="00232776"/>
    <w:rsid w:val="00241FA6"/>
    <w:rsid w:val="00244E22"/>
    <w:rsid w:val="00255204"/>
    <w:rsid w:val="002623F6"/>
    <w:rsid w:val="00262E50"/>
    <w:rsid w:val="002722D0"/>
    <w:rsid w:val="002757C4"/>
    <w:rsid w:val="0027791C"/>
    <w:rsid w:val="0028248A"/>
    <w:rsid w:val="00284EE0"/>
    <w:rsid w:val="00290E42"/>
    <w:rsid w:val="002926E0"/>
    <w:rsid w:val="00297138"/>
    <w:rsid w:val="00297D75"/>
    <w:rsid w:val="002B59D7"/>
    <w:rsid w:val="002B75F9"/>
    <w:rsid w:val="002C3F27"/>
    <w:rsid w:val="002D29DF"/>
    <w:rsid w:val="002D5A5E"/>
    <w:rsid w:val="002F3D09"/>
    <w:rsid w:val="002F518E"/>
    <w:rsid w:val="00301C7B"/>
    <w:rsid w:val="003029F7"/>
    <w:rsid w:val="00315D6B"/>
    <w:rsid w:val="00316A2D"/>
    <w:rsid w:val="00321512"/>
    <w:rsid w:val="00323533"/>
    <w:rsid w:val="003273BE"/>
    <w:rsid w:val="00327D83"/>
    <w:rsid w:val="0033475F"/>
    <w:rsid w:val="00343A40"/>
    <w:rsid w:val="00346CE7"/>
    <w:rsid w:val="0034768F"/>
    <w:rsid w:val="00350058"/>
    <w:rsid w:val="00353573"/>
    <w:rsid w:val="00355A99"/>
    <w:rsid w:val="00371B8D"/>
    <w:rsid w:val="00377B23"/>
    <w:rsid w:val="0038216B"/>
    <w:rsid w:val="0039097B"/>
    <w:rsid w:val="003A21A8"/>
    <w:rsid w:val="003B23F1"/>
    <w:rsid w:val="003B2959"/>
    <w:rsid w:val="003E0F20"/>
    <w:rsid w:val="003E206D"/>
    <w:rsid w:val="003E74DE"/>
    <w:rsid w:val="003F065A"/>
    <w:rsid w:val="003F0C2A"/>
    <w:rsid w:val="003F6409"/>
    <w:rsid w:val="003F6711"/>
    <w:rsid w:val="004026AE"/>
    <w:rsid w:val="004028DC"/>
    <w:rsid w:val="00406E54"/>
    <w:rsid w:val="00417000"/>
    <w:rsid w:val="00417F01"/>
    <w:rsid w:val="004242EA"/>
    <w:rsid w:val="00424E8F"/>
    <w:rsid w:val="00434F45"/>
    <w:rsid w:val="004365FC"/>
    <w:rsid w:val="004366AF"/>
    <w:rsid w:val="004422B3"/>
    <w:rsid w:val="00443DAF"/>
    <w:rsid w:val="0045193C"/>
    <w:rsid w:val="00452CE4"/>
    <w:rsid w:val="00454995"/>
    <w:rsid w:val="00456239"/>
    <w:rsid w:val="00460A14"/>
    <w:rsid w:val="00460A7E"/>
    <w:rsid w:val="00461B1A"/>
    <w:rsid w:val="004666EA"/>
    <w:rsid w:val="004675A7"/>
    <w:rsid w:val="0047447B"/>
    <w:rsid w:val="00476856"/>
    <w:rsid w:val="00487945"/>
    <w:rsid w:val="00490DA4"/>
    <w:rsid w:val="00495325"/>
    <w:rsid w:val="004A0C81"/>
    <w:rsid w:val="004A6711"/>
    <w:rsid w:val="004C2855"/>
    <w:rsid w:val="004C2B98"/>
    <w:rsid w:val="004D1480"/>
    <w:rsid w:val="004D5ADA"/>
    <w:rsid w:val="004D7EFB"/>
    <w:rsid w:val="004E224F"/>
    <w:rsid w:val="004E40BF"/>
    <w:rsid w:val="004E7CD7"/>
    <w:rsid w:val="004F2A26"/>
    <w:rsid w:val="004F694A"/>
    <w:rsid w:val="004F700A"/>
    <w:rsid w:val="005100BB"/>
    <w:rsid w:val="00511892"/>
    <w:rsid w:val="0052053E"/>
    <w:rsid w:val="005224E8"/>
    <w:rsid w:val="00524A1B"/>
    <w:rsid w:val="00532DF1"/>
    <w:rsid w:val="00533BE2"/>
    <w:rsid w:val="00540ACE"/>
    <w:rsid w:val="00543177"/>
    <w:rsid w:val="00543BA3"/>
    <w:rsid w:val="00546B67"/>
    <w:rsid w:val="00552A6A"/>
    <w:rsid w:val="00555B01"/>
    <w:rsid w:val="00560790"/>
    <w:rsid w:val="00562EC6"/>
    <w:rsid w:val="00563754"/>
    <w:rsid w:val="00563DBE"/>
    <w:rsid w:val="0056501D"/>
    <w:rsid w:val="0056626C"/>
    <w:rsid w:val="005720AD"/>
    <w:rsid w:val="00576779"/>
    <w:rsid w:val="00582018"/>
    <w:rsid w:val="00586F71"/>
    <w:rsid w:val="00592387"/>
    <w:rsid w:val="00593EB2"/>
    <w:rsid w:val="005A0147"/>
    <w:rsid w:val="005C5BF2"/>
    <w:rsid w:val="005E309B"/>
    <w:rsid w:val="005F5A25"/>
    <w:rsid w:val="005F6690"/>
    <w:rsid w:val="00613053"/>
    <w:rsid w:val="006163F9"/>
    <w:rsid w:val="006176B5"/>
    <w:rsid w:val="0062086E"/>
    <w:rsid w:val="0062302A"/>
    <w:rsid w:val="00626B0A"/>
    <w:rsid w:val="00650AA9"/>
    <w:rsid w:val="00651044"/>
    <w:rsid w:val="006551FE"/>
    <w:rsid w:val="00662275"/>
    <w:rsid w:val="0067556D"/>
    <w:rsid w:val="006A1D28"/>
    <w:rsid w:val="006A4C17"/>
    <w:rsid w:val="006A5396"/>
    <w:rsid w:val="006B31EB"/>
    <w:rsid w:val="006C18F5"/>
    <w:rsid w:val="006C3D27"/>
    <w:rsid w:val="006D4248"/>
    <w:rsid w:val="006D7405"/>
    <w:rsid w:val="006D7E9C"/>
    <w:rsid w:val="006F1004"/>
    <w:rsid w:val="006F28E1"/>
    <w:rsid w:val="00702017"/>
    <w:rsid w:val="00705DDE"/>
    <w:rsid w:val="007110B3"/>
    <w:rsid w:val="00716236"/>
    <w:rsid w:val="00721F58"/>
    <w:rsid w:val="00723812"/>
    <w:rsid w:val="00733EDA"/>
    <w:rsid w:val="00742E38"/>
    <w:rsid w:val="00743B9E"/>
    <w:rsid w:val="00767F91"/>
    <w:rsid w:val="0077671D"/>
    <w:rsid w:val="007802AA"/>
    <w:rsid w:val="00784BFB"/>
    <w:rsid w:val="00795984"/>
    <w:rsid w:val="00796D3E"/>
    <w:rsid w:val="007B185A"/>
    <w:rsid w:val="007B45B8"/>
    <w:rsid w:val="007B5B0E"/>
    <w:rsid w:val="007B613F"/>
    <w:rsid w:val="007B687D"/>
    <w:rsid w:val="007C1686"/>
    <w:rsid w:val="007C1F33"/>
    <w:rsid w:val="007C5985"/>
    <w:rsid w:val="007D2D5F"/>
    <w:rsid w:val="007D4CED"/>
    <w:rsid w:val="007D4D04"/>
    <w:rsid w:val="007E3E1A"/>
    <w:rsid w:val="007E46B4"/>
    <w:rsid w:val="007E4C71"/>
    <w:rsid w:val="007E78DF"/>
    <w:rsid w:val="007F07BB"/>
    <w:rsid w:val="007F33B0"/>
    <w:rsid w:val="007F428D"/>
    <w:rsid w:val="007F5D09"/>
    <w:rsid w:val="00800FA4"/>
    <w:rsid w:val="00801226"/>
    <w:rsid w:val="00804BE0"/>
    <w:rsid w:val="008064B0"/>
    <w:rsid w:val="00810771"/>
    <w:rsid w:val="00815194"/>
    <w:rsid w:val="008207B0"/>
    <w:rsid w:val="00834FBC"/>
    <w:rsid w:val="00835DAF"/>
    <w:rsid w:val="008430FA"/>
    <w:rsid w:val="00851B2D"/>
    <w:rsid w:val="00853642"/>
    <w:rsid w:val="008550A0"/>
    <w:rsid w:val="008564E0"/>
    <w:rsid w:val="00856CA4"/>
    <w:rsid w:val="0086132D"/>
    <w:rsid w:val="00865EA7"/>
    <w:rsid w:val="008674D6"/>
    <w:rsid w:val="0086789D"/>
    <w:rsid w:val="0087040C"/>
    <w:rsid w:val="00872258"/>
    <w:rsid w:val="00874FF3"/>
    <w:rsid w:val="00880CFA"/>
    <w:rsid w:val="00881D93"/>
    <w:rsid w:val="0089326C"/>
    <w:rsid w:val="008964F1"/>
    <w:rsid w:val="008A66E8"/>
    <w:rsid w:val="008B6793"/>
    <w:rsid w:val="008C072F"/>
    <w:rsid w:val="008D6827"/>
    <w:rsid w:val="008E330D"/>
    <w:rsid w:val="008E603D"/>
    <w:rsid w:val="008F3498"/>
    <w:rsid w:val="00903ED1"/>
    <w:rsid w:val="00922669"/>
    <w:rsid w:val="00924510"/>
    <w:rsid w:val="00927B9B"/>
    <w:rsid w:val="00940C91"/>
    <w:rsid w:val="00941ED3"/>
    <w:rsid w:val="00942F9A"/>
    <w:rsid w:val="009458EB"/>
    <w:rsid w:val="00955DCF"/>
    <w:rsid w:val="0095680F"/>
    <w:rsid w:val="00957816"/>
    <w:rsid w:val="00963D76"/>
    <w:rsid w:val="00973FFF"/>
    <w:rsid w:val="0098392C"/>
    <w:rsid w:val="00984545"/>
    <w:rsid w:val="00985916"/>
    <w:rsid w:val="00987C22"/>
    <w:rsid w:val="009A05D4"/>
    <w:rsid w:val="009A41E7"/>
    <w:rsid w:val="009B3A27"/>
    <w:rsid w:val="009B3BA0"/>
    <w:rsid w:val="009C786B"/>
    <w:rsid w:val="009D4A72"/>
    <w:rsid w:val="009E12AC"/>
    <w:rsid w:val="009E2B04"/>
    <w:rsid w:val="009E5DD4"/>
    <w:rsid w:val="009F1388"/>
    <w:rsid w:val="009F40CA"/>
    <w:rsid w:val="00A05D0D"/>
    <w:rsid w:val="00A05DEA"/>
    <w:rsid w:val="00A074A6"/>
    <w:rsid w:val="00A100EE"/>
    <w:rsid w:val="00A1257E"/>
    <w:rsid w:val="00A17504"/>
    <w:rsid w:val="00A20FAE"/>
    <w:rsid w:val="00A226A4"/>
    <w:rsid w:val="00A263C9"/>
    <w:rsid w:val="00A31F7B"/>
    <w:rsid w:val="00A60093"/>
    <w:rsid w:val="00A6404A"/>
    <w:rsid w:val="00A665B2"/>
    <w:rsid w:val="00A72D17"/>
    <w:rsid w:val="00A80984"/>
    <w:rsid w:val="00A81656"/>
    <w:rsid w:val="00A84BDB"/>
    <w:rsid w:val="00A92167"/>
    <w:rsid w:val="00A92BBC"/>
    <w:rsid w:val="00A96E20"/>
    <w:rsid w:val="00AA0809"/>
    <w:rsid w:val="00AA65E3"/>
    <w:rsid w:val="00AB18CD"/>
    <w:rsid w:val="00AB1B3D"/>
    <w:rsid w:val="00AB1C0C"/>
    <w:rsid w:val="00AC282E"/>
    <w:rsid w:val="00AC7147"/>
    <w:rsid w:val="00AE50FD"/>
    <w:rsid w:val="00AE5D02"/>
    <w:rsid w:val="00AF2DE2"/>
    <w:rsid w:val="00B04655"/>
    <w:rsid w:val="00B052FD"/>
    <w:rsid w:val="00B06F4E"/>
    <w:rsid w:val="00B11B65"/>
    <w:rsid w:val="00B12A5B"/>
    <w:rsid w:val="00B13CEF"/>
    <w:rsid w:val="00B16DA3"/>
    <w:rsid w:val="00B17B6B"/>
    <w:rsid w:val="00B2286C"/>
    <w:rsid w:val="00B358D7"/>
    <w:rsid w:val="00B40468"/>
    <w:rsid w:val="00B43051"/>
    <w:rsid w:val="00B443C8"/>
    <w:rsid w:val="00B52FAE"/>
    <w:rsid w:val="00B549B2"/>
    <w:rsid w:val="00B651FC"/>
    <w:rsid w:val="00B72871"/>
    <w:rsid w:val="00B72B94"/>
    <w:rsid w:val="00B74155"/>
    <w:rsid w:val="00B74FD2"/>
    <w:rsid w:val="00B752FF"/>
    <w:rsid w:val="00B77D3D"/>
    <w:rsid w:val="00B80449"/>
    <w:rsid w:val="00B804C3"/>
    <w:rsid w:val="00B826F2"/>
    <w:rsid w:val="00B873CF"/>
    <w:rsid w:val="00B92034"/>
    <w:rsid w:val="00B93FCD"/>
    <w:rsid w:val="00B94ABE"/>
    <w:rsid w:val="00B953BB"/>
    <w:rsid w:val="00B962A9"/>
    <w:rsid w:val="00BA20CF"/>
    <w:rsid w:val="00BA5593"/>
    <w:rsid w:val="00BC4AB3"/>
    <w:rsid w:val="00BD0631"/>
    <w:rsid w:val="00BD2572"/>
    <w:rsid w:val="00BD276A"/>
    <w:rsid w:val="00BD2D4C"/>
    <w:rsid w:val="00BE6086"/>
    <w:rsid w:val="00BE7475"/>
    <w:rsid w:val="00BF2583"/>
    <w:rsid w:val="00BF3FC1"/>
    <w:rsid w:val="00BF4789"/>
    <w:rsid w:val="00BF6162"/>
    <w:rsid w:val="00BF718B"/>
    <w:rsid w:val="00BF7ABB"/>
    <w:rsid w:val="00C058CA"/>
    <w:rsid w:val="00C05B67"/>
    <w:rsid w:val="00C06793"/>
    <w:rsid w:val="00C10035"/>
    <w:rsid w:val="00C14013"/>
    <w:rsid w:val="00C14724"/>
    <w:rsid w:val="00C14EBC"/>
    <w:rsid w:val="00C17596"/>
    <w:rsid w:val="00C17DBE"/>
    <w:rsid w:val="00C2563E"/>
    <w:rsid w:val="00C37049"/>
    <w:rsid w:val="00C51977"/>
    <w:rsid w:val="00C51E81"/>
    <w:rsid w:val="00C537EA"/>
    <w:rsid w:val="00C60843"/>
    <w:rsid w:val="00C65F8C"/>
    <w:rsid w:val="00C80BE2"/>
    <w:rsid w:val="00C871ED"/>
    <w:rsid w:val="00CA1D84"/>
    <w:rsid w:val="00CA3764"/>
    <w:rsid w:val="00CB2AB4"/>
    <w:rsid w:val="00CB773D"/>
    <w:rsid w:val="00CB7976"/>
    <w:rsid w:val="00CC7229"/>
    <w:rsid w:val="00CD309D"/>
    <w:rsid w:val="00CE41EF"/>
    <w:rsid w:val="00CE6105"/>
    <w:rsid w:val="00CF4B2E"/>
    <w:rsid w:val="00CF79C4"/>
    <w:rsid w:val="00D04676"/>
    <w:rsid w:val="00D21E83"/>
    <w:rsid w:val="00D25AF0"/>
    <w:rsid w:val="00D25CAA"/>
    <w:rsid w:val="00D26B7F"/>
    <w:rsid w:val="00D37803"/>
    <w:rsid w:val="00D41DF1"/>
    <w:rsid w:val="00D4656A"/>
    <w:rsid w:val="00D5043E"/>
    <w:rsid w:val="00D5683C"/>
    <w:rsid w:val="00D62659"/>
    <w:rsid w:val="00D6478F"/>
    <w:rsid w:val="00D651FE"/>
    <w:rsid w:val="00D70F93"/>
    <w:rsid w:val="00D718CA"/>
    <w:rsid w:val="00D761E7"/>
    <w:rsid w:val="00D800E2"/>
    <w:rsid w:val="00D8747E"/>
    <w:rsid w:val="00DA3BEF"/>
    <w:rsid w:val="00DA4DF5"/>
    <w:rsid w:val="00DA5B04"/>
    <w:rsid w:val="00DA646E"/>
    <w:rsid w:val="00DB2386"/>
    <w:rsid w:val="00DB60B2"/>
    <w:rsid w:val="00DC2138"/>
    <w:rsid w:val="00DC474D"/>
    <w:rsid w:val="00DD41C5"/>
    <w:rsid w:val="00DE6DFC"/>
    <w:rsid w:val="00DF0BCB"/>
    <w:rsid w:val="00DF1F00"/>
    <w:rsid w:val="00DF29ED"/>
    <w:rsid w:val="00E016E7"/>
    <w:rsid w:val="00E04D2C"/>
    <w:rsid w:val="00E17970"/>
    <w:rsid w:val="00E229FA"/>
    <w:rsid w:val="00E314C0"/>
    <w:rsid w:val="00E31958"/>
    <w:rsid w:val="00E334D4"/>
    <w:rsid w:val="00E35D1B"/>
    <w:rsid w:val="00E372A2"/>
    <w:rsid w:val="00E37D05"/>
    <w:rsid w:val="00E37EBA"/>
    <w:rsid w:val="00E4009D"/>
    <w:rsid w:val="00E562F9"/>
    <w:rsid w:val="00E64E6D"/>
    <w:rsid w:val="00E677A7"/>
    <w:rsid w:val="00E7106D"/>
    <w:rsid w:val="00E72490"/>
    <w:rsid w:val="00E7377A"/>
    <w:rsid w:val="00E813FC"/>
    <w:rsid w:val="00E81E6B"/>
    <w:rsid w:val="00E83737"/>
    <w:rsid w:val="00E91807"/>
    <w:rsid w:val="00E93293"/>
    <w:rsid w:val="00E95EBA"/>
    <w:rsid w:val="00ED1B9F"/>
    <w:rsid w:val="00ED1FFF"/>
    <w:rsid w:val="00ED47AE"/>
    <w:rsid w:val="00ED5E92"/>
    <w:rsid w:val="00EE1159"/>
    <w:rsid w:val="00EE261E"/>
    <w:rsid w:val="00EE5A77"/>
    <w:rsid w:val="00EF215C"/>
    <w:rsid w:val="00EF4C0F"/>
    <w:rsid w:val="00EF7882"/>
    <w:rsid w:val="00F04089"/>
    <w:rsid w:val="00F05379"/>
    <w:rsid w:val="00F053F8"/>
    <w:rsid w:val="00F0668B"/>
    <w:rsid w:val="00F0706B"/>
    <w:rsid w:val="00F07142"/>
    <w:rsid w:val="00F11D8A"/>
    <w:rsid w:val="00F12788"/>
    <w:rsid w:val="00F20DC0"/>
    <w:rsid w:val="00F229F5"/>
    <w:rsid w:val="00F329EB"/>
    <w:rsid w:val="00F404E0"/>
    <w:rsid w:val="00F425E9"/>
    <w:rsid w:val="00F55A0A"/>
    <w:rsid w:val="00F57E4F"/>
    <w:rsid w:val="00F67ADD"/>
    <w:rsid w:val="00F74D71"/>
    <w:rsid w:val="00F751C1"/>
    <w:rsid w:val="00F759E0"/>
    <w:rsid w:val="00F777DA"/>
    <w:rsid w:val="00F927EF"/>
    <w:rsid w:val="00FA1698"/>
    <w:rsid w:val="00FA596C"/>
    <w:rsid w:val="00FA5A93"/>
    <w:rsid w:val="00FB3BD6"/>
    <w:rsid w:val="00FB5729"/>
    <w:rsid w:val="00FB6449"/>
    <w:rsid w:val="00FC32FF"/>
    <w:rsid w:val="00FC3792"/>
    <w:rsid w:val="00FC37CC"/>
    <w:rsid w:val="00FD3E2C"/>
    <w:rsid w:val="00FD576F"/>
    <w:rsid w:val="00FE220C"/>
    <w:rsid w:val="00FE4EA3"/>
    <w:rsid w:val="00FE6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B74DE"/>
  <w15:chartTrackingRefBased/>
  <w15:docId w15:val="{3FCF1222-96FA-415A-A4F6-B11BD14E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5A5E"/>
    <w:pPr>
      <w:keepNext/>
      <w:keepLines/>
      <w:spacing w:before="240" w:after="0"/>
      <w:outlineLvl w:val="0"/>
    </w:pPr>
    <w:rPr>
      <w:rFonts w:eastAsiaTheme="majorEastAsia" w:cstheme="majorBidi"/>
      <w:b/>
      <w:color w:val="06AFE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DBE"/>
  </w:style>
  <w:style w:type="paragraph" w:styleId="Footer">
    <w:name w:val="footer"/>
    <w:basedOn w:val="Normal"/>
    <w:link w:val="FooterChar"/>
    <w:uiPriority w:val="99"/>
    <w:unhideWhenUsed/>
    <w:rsid w:val="00C17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DBE"/>
  </w:style>
  <w:style w:type="character" w:styleId="Hyperlink">
    <w:name w:val="Hyperlink"/>
    <w:basedOn w:val="DefaultParagraphFont"/>
    <w:uiPriority w:val="99"/>
    <w:unhideWhenUsed/>
    <w:rsid w:val="00C17DBE"/>
    <w:rPr>
      <w:color w:val="0563C1" w:themeColor="hyperlink"/>
      <w:u w:val="single"/>
    </w:rPr>
  </w:style>
  <w:style w:type="paragraph" w:styleId="NormalWeb">
    <w:name w:val="Normal (Web)"/>
    <w:basedOn w:val="Normal"/>
    <w:uiPriority w:val="99"/>
    <w:semiHidden/>
    <w:unhideWhenUsed/>
    <w:rsid w:val="00E229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229FA"/>
    <w:rPr>
      <w:b/>
      <w:bCs/>
    </w:rPr>
  </w:style>
  <w:style w:type="paragraph" w:styleId="FootnoteText">
    <w:name w:val="footnote text"/>
    <w:basedOn w:val="Normal"/>
    <w:link w:val="FootnoteTextChar"/>
    <w:uiPriority w:val="99"/>
    <w:semiHidden/>
    <w:unhideWhenUsed/>
    <w:rsid w:val="002122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2239"/>
    <w:rPr>
      <w:sz w:val="20"/>
      <w:szCs w:val="20"/>
    </w:rPr>
  </w:style>
  <w:style w:type="character" w:styleId="FootnoteReference">
    <w:name w:val="footnote reference"/>
    <w:basedOn w:val="DefaultParagraphFont"/>
    <w:uiPriority w:val="99"/>
    <w:semiHidden/>
    <w:unhideWhenUsed/>
    <w:rsid w:val="00212239"/>
    <w:rPr>
      <w:vertAlign w:val="superscript"/>
    </w:rPr>
  </w:style>
  <w:style w:type="character" w:customStyle="1" w:styleId="Heading1Char">
    <w:name w:val="Heading 1 Char"/>
    <w:basedOn w:val="DefaultParagraphFont"/>
    <w:link w:val="Heading1"/>
    <w:uiPriority w:val="9"/>
    <w:rsid w:val="002D5A5E"/>
    <w:rPr>
      <w:rFonts w:eastAsiaTheme="majorEastAsia" w:cstheme="majorBidi"/>
      <w:b/>
      <w:color w:val="06AFE3"/>
      <w:sz w:val="32"/>
      <w:szCs w:val="32"/>
    </w:rPr>
  </w:style>
  <w:style w:type="paragraph" w:customStyle="1" w:styleId="Default">
    <w:name w:val="Default"/>
    <w:rsid w:val="002D5A5E"/>
    <w:pPr>
      <w:autoSpaceDE w:val="0"/>
      <w:autoSpaceDN w:val="0"/>
      <w:adjustRightInd w:val="0"/>
      <w:spacing w:after="0" w:line="240" w:lineRule="auto"/>
    </w:pPr>
    <w:rPr>
      <w:rFonts w:ascii="Humnst777 Lt BT" w:hAnsi="Humnst777 Lt BT" w:cs="Humnst777 Lt BT"/>
      <w:color w:val="000000"/>
      <w:sz w:val="24"/>
      <w:szCs w:val="24"/>
    </w:rPr>
  </w:style>
  <w:style w:type="character" w:styleId="UnresolvedMention">
    <w:name w:val="Unresolved Mention"/>
    <w:basedOn w:val="DefaultParagraphFont"/>
    <w:uiPriority w:val="99"/>
    <w:semiHidden/>
    <w:unhideWhenUsed/>
    <w:rsid w:val="000024B6"/>
    <w:rPr>
      <w:color w:val="605E5C"/>
      <w:shd w:val="clear" w:color="auto" w:fill="E1DFDD"/>
    </w:rPr>
  </w:style>
  <w:style w:type="table" w:styleId="TableGrid">
    <w:name w:val="Table Grid"/>
    <w:basedOn w:val="TableNormal"/>
    <w:uiPriority w:val="39"/>
    <w:rsid w:val="00C05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72D17"/>
  </w:style>
  <w:style w:type="paragraph" w:styleId="ListParagraph">
    <w:name w:val="List Paragraph"/>
    <w:basedOn w:val="Normal"/>
    <w:link w:val="ListParagraphChar"/>
    <w:uiPriority w:val="34"/>
    <w:qFormat/>
    <w:rsid w:val="00C14EBC"/>
    <w:pPr>
      <w:ind w:left="720"/>
      <w:contextualSpacing/>
    </w:pPr>
  </w:style>
  <w:style w:type="character" w:customStyle="1" w:styleId="eop">
    <w:name w:val="eop"/>
    <w:basedOn w:val="DefaultParagraphFont"/>
    <w:rsid w:val="00153AD9"/>
  </w:style>
  <w:style w:type="paragraph" w:customStyle="1" w:styleId="Appendix">
    <w:name w:val="Appendix"/>
    <w:basedOn w:val="BodyText"/>
    <w:next w:val="AppendixPart"/>
    <w:uiPriority w:val="38"/>
    <w:rsid w:val="00153AD9"/>
    <w:pPr>
      <w:keepNext/>
      <w:pageBreakBefore/>
      <w:numPr>
        <w:numId w:val="6"/>
      </w:numPr>
      <w:spacing w:after="200" w:line="288" w:lineRule="auto"/>
      <w:ind w:left="0" w:hanging="360"/>
      <w:jc w:val="center"/>
      <w:outlineLvl w:val="0"/>
    </w:pPr>
    <w:rPr>
      <w:b/>
      <w:caps/>
    </w:rPr>
  </w:style>
  <w:style w:type="paragraph" w:customStyle="1" w:styleId="AppendixPart">
    <w:name w:val="Appendix Part"/>
    <w:basedOn w:val="BodyText"/>
    <w:next w:val="BodyText"/>
    <w:uiPriority w:val="39"/>
    <w:rsid w:val="00153AD9"/>
    <w:pPr>
      <w:keepNext/>
      <w:numPr>
        <w:ilvl w:val="1"/>
        <w:numId w:val="6"/>
      </w:numPr>
      <w:spacing w:after="200" w:line="288" w:lineRule="auto"/>
      <w:ind w:left="1440" w:hanging="360"/>
      <w:jc w:val="center"/>
      <w:outlineLvl w:val="1"/>
    </w:pPr>
    <w:rPr>
      <w:b/>
    </w:rPr>
  </w:style>
  <w:style w:type="paragraph" w:customStyle="1" w:styleId="Appendix1Heading">
    <w:name w:val="Appendix 1 Heading"/>
    <w:basedOn w:val="Normal"/>
    <w:next w:val="Normal"/>
    <w:uiPriority w:val="40"/>
    <w:rsid w:val="00153AD9"/>
    <w:pPr>
      <w:keepNext/>
      <w:numPr>
        <w:ilvl w:val="2"/>
        <w:numId w:val="6"/>
      </w:numPr>
      <w:spacing w:after="200" w:line="288" w:lineRule="auto"/>
      <w:jc w:val="both"/>
      <w:outlineLvl w:val="2"/>
    </w:pPr>
    <w:rPr>
      <w:b/>
      <w:caps/>
    </w:rPr>
  </w:style>
  <w:style w:type="paragraph" w:customStyle="1" w:styleId="Appendix2Number">
    <w:name w:val="Appendix 2 Number"/>
    <w:basedOn w:val="BodyText"/>
    <w:uiPriority w:val="41"/>
    <w:rsid w:val="00153AD9"/>
    <w:pPr>
      <w:numPr>
        <w:ilvl w:val="3"/>
        <w:numId w:val="6"/>
      </w:numPr>
      <w:tabs>
        <w:tab w:val="clear" w:pos="709"/>
      </w:tabs>
      <w:spacing w:after="200" w:line="288" w:lineRule="auto"/>
      <w:ind w:left="2880" w:hanging="360"/>
      <w:jc w:val="both"/>
      <w:outlineLvl w:val="1"/>
    </w:pPr>
  </w:style>
  <w:style w:type="paragraph" w:customStyle="1" w:styleId="Appendix3Number">
    <w:name w:val="Appendix 3 Number"/>
    <w:basedOn w:val="BodyText"/>
    <w:uiPriority w:val="41"/>
    <w:rsid w:val="00153AD9"/>
    <w:pPr>
      <w:numPr>
        <w:ilvl w:val="4"/>
        <w:numId w:val="6"/>
      </w:numPr>
      <w:tabs>
        <w:tab w:val="clear" w:pos="1701"/>
      </w:tabs>
      <w:spacing w:after="200" w:line="288" w:lineRule="auto"/>
      <w:ind w:left="3600" w:hanging="360"/>
      <w:jc w:val="both"/>
      <w:outlineLvl w:val="2"/>
    </w:pPr>
  </w:style>
  <w:style w:type="paragraph" w:customStyle="1" w:styleId="Appendix4Number">
    <w:name w:val="Appendix 4 Number"/>
    <w:basedOn w:val="BodyText"/>
    <w:uiPriority w:val="41"/>
    <w:rsid w:val="00153AD9"/>
    <w:pPr>
      <w:numPr>
        <w:ilvl w:val="5"/>
        <w:numId w:val="6"/>
      </w:numPr>
      <w:tabs>
        <w:tab w:val="clear" w:pos="2410"/>
      </w:tabs>
      <w:spacing w:after="200" w:line="288" w:lineRule="auto"/>
      <w:ind w:left="4320" w:hanging="360"/>
      <w:jc w:val="both"/>
      <w:outlineLvl w:val="3"/>
    </w:pPr>
  </w:style>
  <w:style w:type="paragraph" w:customStyle="1" w:styleId="Appendix5Number">
    <w:name w:val="Appendix 5 Number"/>
    <w:basedOn w:val="BodyText"/>
    <w:uiPriority w:val="41"/>
    <w:rsid w:val="00153AD9"/>
    <w:pPr>
      <w:numPr>
        <w:ilvl w:val="6"/>
        <w:numId w:val="6"/>
      </w:numPr>
      <w:tabs>
        <w:tab w:val="clear" w:pos="3119"/>
      </w:tabs>
      <w:spacing w:after="200" w:line="288" w:lineRule="auto"/>
      <w:ind w:left="5040" w:hanging="360"/>
      <w:jc w:val="both"/>
      <w:outlineLvl w:val="4"/>
    </w:pPr>
  </w:style>
  <w:style w:type="paragraph" w:customStyle="1" w:styleId="Appendix6Number">
    <w:name w:val="Appendix 6 Number"/>
    <w:basedOn w:val="BodyText"/>
    <w:uiPriority w:val="41"/>
    <w:rsid w:val="00153AD9"/>
    <w:pPr>
      <w:numPr>
        <w:ilvl w:val="7"/>
        <w:numId w:val="6"/>
      </w:numPr>
      <w:tabs>
        <w:tab w:val="clear" w:pos="3827"/>
      </w:tabs>
      <w:spacing w:after="200" w:line="288" w:lineRule="auto"/>
      <w:ind w:left="5760" w:hanging="360"/>
      <w:jc w:val="both"/>
      <w:outlineLvl w:val="5"/>
    </w:pPr>
  </w:style>
  <w:style w:type="numbering" w:customStyle="1" w:styleId="AppendixList">
    <w:name w:val="Appendix List"/>
    <w:uiPriority w:val="99"/>
    <w:rsid w:val="00153AD9"/>
    <w:pPr>
      <w:numPr>
        <w:numId w:val="5"/>
      </w:numPr>
    </w:pPr>
  </w:style>
  <w:style w:type="paragraph" w:styleId="BodyText">
    <w:name w:val="Body Text"/>
    <w:basedOn w:val="Normal"/>
    <w:link w:val="BodyTextChar"/>
    <w:uiPriority w:val="99"/>
    <w:semiHidden/>
    <w:unhideWhenUsed/>
    <w:rsid w:val="00153AD9"/>
    <w:pPr>
      <w:spacing w:after="120"/>
    </w:pPr>
  </w:style>
  <w:style w:type="character" w:customStyle="1" w:styleId="BodyTextChar">
    <w:name w:val="Body Text Char"/>
    <w:basedOn w:val="DefaultParagraphFont"/>
    <w:link w:val="BodyText"/>
    <w:uiPriority w:val="99"/>
    <w:semiHidden/>
    <w:rsid w:val="00153AD9"/>
  </w:style>
  <w:style w:type="paragraph" w:styleId="CommentText">
    <w:name w:val="annotation text"/>
    <w:basedOn w:val="Normal"/>
    <w:link w:val="CommentTextChar"/>
    <w:uiPriority w:val="99"/>
    <w:unhideWhenUsed/>
    <w:rsid w:val="008B6793"/>
    <w:pPr>
      <w:spacing w:line="240" w:lineRule="auto"/>
    </w:pPr>
    <w:rPr>
      <w:sz w:val="20"/>
      <w:szCs w:val="20"/>
    </w:rPr>
  </w:style>
  <w:style w:type="character" w:customStyle="1" w:styleId="CommentTextChar">
    <w:name w:val="Comment Text Char"/>
    <w:basedOn w:val="DefaultParagraphFont"/>
    <w:link w:val="CommentText"/>
    <w:uiPriority w:val="99"/>
    <w:rsid w:val="008B6793"/>
    <w:rPr>
      <w:sz w:val="20"/>
      <w:szCs w:val="20"/>
    </w:rPr>
  </w:style>
  <w:style w:type="paragraph" w:customStyle="1" w:styleId="Bullet">
    <w:name w:val="Bullet"/>
    <w:basedOn w:val="BodyText"/>
    <w:uiPriority w:val="21"/>
    <w:qFormat/>
    <w:rsid w:val="008B6793"/>
    <w:pPr>
      <w:numPr>
        <w:numId w:val="8"/>
      </w:numPr>
      <w:spacing w:after="200" w:line="288" w:lineRule="auto"/>
      <w:jc w:val="both"/>
    </w:pPr>
  </w:style>
  <w:style w:type="paragraph" w:customStyle="1" w:styleId="Bullet1">
    <w:name w:val="Bullet 1"/>
    <w:basedOn w:val="BodyText"/>
    <w:uiPriority w:val="21"/>
    <w:rsid w:val="008B6793"/>
    <w:pPr>
      <w:numPr>
        <w:ilvl w:val="1"/>
        <w:numId w:val="8"/>
      </w:numPr>
      <w:spacing w:after="200" w:line="288" w:lineRule="auto"/>
      <w:jc w:val="both"/>
    </w:pPr>
  </w:style>
  <w:style w:type="paragraph" w:customStyle="1" w:styleId="Bullet2">
    <w:name w:val="Bullet 2"/>
    <w:basedOn w:val="BodyText"/>
    <w:uiPriority w:val="21"/>
    <w:rsid w:val="008B6793"/>
    <w:pPr>
      <w:numPr>
        <w:ilvl w:val="2"/>
        <w:numId w:val="8"/>
      </w:numPr>
      <w:spacing w:after="200" w:line="288" w:lineRule="auto"/>
      <w:jc w:val="both"/>
    </w:pPr>
  </w:style>
  <w:style w:type="paragraph" w:customStyle="1" w:styleId="Bullet3">
    <w:name w:val="Bullet 3"/>
    <w:basedOn w:val="BodyText"/>
    <w:uiPriority w:val="21"/>
    <w:rsid w:val="008B6793"/>
    <w:pPr>
      <w:numPr>
        <w:ilvl w:val="3"/>
        <w:numId w:val="8"/>
      </w:numPr>
      <w:spacing w:after="200" w:line="288" w:lineRule="auto"/>
      <w:jc w:val="both"/>
    </w:pPr>
  </w:style>
  <w:style w:type="paragraph" w:customStyle="1" w:styleId="Bullet4">
    <w:name w:val="Bullet 4"/>
    <w:basedOn w:val="BodyText"/>
    <w:uiPriority w:val="21"/>
    <w:rsid w:val="008B6793"/>
    <w:pPr>
      <w:numPr>
        <w:ilvl w:val="4"/>
        <w:numId w:val="8"/>
      </w:numPr>
      <w:spacing w:after="200" w:line="288" w:lineRule="auto"/>
      <w:jc w:val="both"/>
    </w:pPr>
  </w:style>
  <w:style w:type="numbering" w:customStyle="1" w:styleId="Bullets">
    <w:name w:val="Bullets"/>
    <w:uiPriority w:val="99"/>
    <w:rsid w:val="008B6793"/>
    <w:pPr>
      <w:numPr>
        <w:numId w:val="7"/>
      </w:numPr>
    </w:pPr>
  </w:style>
  <w:style w:type="paragraph" w:customStyle="1" w:styleId="Bullet5">
    <w:name w:val="Bullet 5"/>
    <w:basedOn w:val="BodyText"/>
    <w:uiPriority w:val="21"/>
    <w:rsid w:val="008B6793"/>
    <w:pPr>
      <w:numPr>
        <w:ilvl w:val="5"/>
        <w:numId w:val="8"/>
      </w:numPr>
      <w:spacing w:after="200" w:line="288" w:lineRule="auto"/>
      <w:jc w:val="both"/>
    </w:pPr>
  </w:style>
  <w:style w:type="paragraph" w:customStyle="1" w:styleId="Bullet6">
    <w:name w:val="Bullet 6"/>
    <w:basedOn w:val="BodyText"/>
    <w:uiPriority w:val="21"/>
    <w:rsid w:val="008B6793"/>
    <w:pPr>
      <w:numPr>
        <w:ilvl w:val="6"/>
        <w:numId w:val="8"/>
      </w:numPr>
      <w:spacing w:after="200" w:line="288" w:lineRule="auto"/>
      <w:jc w:val="both"/>
    </w:pPr>
  </w:style>
  <w:style w:type="character" w:customStyle="1" w:styleId="ListParagraphChar">
    <w:name w:val="List Paragraph Char"/>
    <w:basedOn w:val="DefaultParagraphFont"/>
    <w:link w:val="ListParagraph"/>
    <w:uiPriority w:val="34"/>
    <w:rsid w:val="0006224B"/>
  </w:style>
  <w:style w:type="character" w:styleId="CommentReference">
    <w:name w:val="annotation reference"/>
    <w:basedOn w:val="DefaultParagraphFont"/>
    <w:uiPriority w:val="99"/>
    <w:semiHidden/>
    <w:unhideWhenUsed/>
    <w:rsid w:val="002926E0"/>
    <w:rPr>
      <w:sz w:val="16"/>
      <w:szCs w:val="16"/>
    </w:rPr>
  </w:style>
  <w:style w:type="paragraph" w:styleId="CommentSubject">
    <w:name w:val="annotation subject"/>
    <w:basedOn w:val="CommentText"/>
    <w:next w:val="CommentText"/>
    <w:link w:val="CommentSubjectChar"/>
    <w:uiPriority w:val="99"/>
    <w:semiHidden/>
    <w:unhideWhenUsed/>
    <w:rsid w:val="002926E0"/>
    <w:rPr>
      <w:b/>
      <w:bCs/>
    </w:rPr>
  </w:style>
  <w:style w:type="character" w:customStyle="1" w:styleId="CommentSubjectChar">
    <w:name w:val="Comment Subject Char"/>
    <w:basedOn w:val="CommentTextChar"/>
    <w:link w:val="CommentSubject"/>
    <w:uiPriority w:val="99"/>
    <w:semiHidden/>
    <w:rsid w:val="002926E0"/>
    <w:rPr>
      <w:b/>
      <w:bCs/>
      <w:sz w:val="20"/>
      <w:szCs w:val="20"/>
    </w:rPr>
  </w:style>
  <w:style w:type="paragraph" w:customStyle="1" w:styleId="subpara1">
    <w:name w:val="subpara1"/>
    <w:basedOn w:val="Normal"/>
    <w:rsid w:val="00E710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para2">
    <w:name w:val="subpara2"/>
    <w:basedOn w:val="Normal"/>
    <w:rsid w:val="00E710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97138"/>
    <w:rPr>
      <w:color w:val="954F72" w:themeColor="followedHyperlink"/>
      <w:u w:val="single"/>
    </w:rPr>
  </w:style>
  <w:style w:type="paragraph" w:styleId="Revision">
    <w:name w:val="Revision"/>
    <w:hidden/>
    <w:uiPriority w:val="99"/>
    <w:semiHidden/>
    <w:rsid w:val="00E37EBA"/>
    <w:pPr>
      <w:spacing w:after="0" w:line="240" w:lineRule="auto"/>
    </w:pPr>
  </w:style>
  <w:style w:type="character" w:styleId="Emphasis">
    <w:name w:val="Emphasis"/>
    <w:basedOn w:val="DefaultParagraphFont"/>
    <w:uiPriority w:val="20"/>
    <w:qFormat/>
    <w:rsid w:val="003E20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56908">
      <w:bodyDiv w:val="1"/>
      <w:marLeft w:val="0"/>
      <w:marRight w:val="0"/>
      <w:marTop w:val="0"/>
      <w:marBottom w:val="0"/>
      <w:divBdr>
        <w:top w:val="none" w:sz="0" w:space="0" w:color="auto"/>
        <w:left w:val="none" w:sz="0" w:space="0" w:color="auto"/>
        <w:bottom w:val="none" w:sz="0" w:space="0" w:color="auto"/>
        <w:right w:val="none" w:sz="0" w:space="0" w:color="auto"/>
      </w:divBdr>
    </w:div>
    <w:div w:id="583690795">
      <w:bodyDiv w:val="1"/>
      <w:marLeft w:val="0"/>
      <w:marRight w:val="0"/>
      <w:marTop w:val="0"/>
      <w:marBottom w:val="0"/>
      <w:divBdr>
        <w:top w:val="none" w:sz="0" w:space="0" w:color="auto"/>
        <w:left w:val="none" w:sz="0" w:space="0" w:color="auto"/>
        <w:bottom w:val="none" w:sz="0" w:space="0" w:color="auto"/>
        <w:right w:val="none" w:sz="0" w:space="0" w:color="auto"/>
      </w:divBdr>
    </w:div>
    <w:div w:id="1226989211">
      <w:bodyDiv w:val="1"/>
      <w:marLeft w:val="0"/>
      <w:marRight w:val="0"/>
      <w:marTop w:val="0"/>
      <w:marBottom w:val="0"/>
      <w:divBdr>
        <w:top w:val="none" w:sz="0" w:space="0" w:color="auto"/>
        <w:left w:val="none" w:sz="0" w:space="0" w:color="auto"/>
        <w:bottom w:val="none" w:sz="0" w:space="0" w:color="auto"/>
        <w:right w:val="none" w:sz="0" w:space="0" w:color="auto"/>
      </w:divBdr>
    </w:div>
    <w:div w:id="1262955846">
      <w:bodyDiv w:val="1"/>
      <w:marLeft w:val="0"/>
      <w:marRight w:val="0"/>
      <w:marTop w:val="0"/>
      <w:marBottom w:val="0"/>
      <w:divBdr>
        <w:top w:val="none" w:sz="0" w:space="0" w:color="auto"/>
        <w:left w:val="none" w:sz="0" w:space="0" w:color="auto"/>
        <w:bottom w:val="none" w:sz="0" w:space="0" w:color="auto"/>
        <w:right w:val="none" w:sz="0" w:space="0" w:color="auto"/>
      </w:divBdr>
    </w:div>
    <w:div w:id="165668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bungay@aref.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prichards@aref.org.uk"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s237@fca.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F5B1BC36BA344899C4CE12452F1A1" ma:contentTypeVersion="16" ma:contentTypeDescription="Create a new document." ma:contentTypeScope="" ma:versionID="e239d56f26b58630685470a8de723fe5">
  <xsd:schema xmlns:xsd="http://www.w3.org/2001/XMLSchema" xmlns:xs="http://www.w3.org/2001/XMLSchema" xmlns:p="http://schemas.microsoft.com/office/2006/metadata/properties" xmlns:ns2="a119cbe1-fce3-4f42-b142-385e5c96a4ad" xmlns:ns3="ac51814d-996c-4eb1-a29d-985085e523c2" targetNamespace="http://schemas.microsoft.com/office/2006/metadata/properties" ma:root="true" ma:fieldsID="21855ccd6b80e627cf3309467dc38b68" ns2:_="" ns3:_="">
    <xsd:import namespace="a119cbe1-fce3-4f42-b142-385e5c96a4ad"/>
    <xsd:import namespace="ac51814d-996c-4eb1-a29d-985085e523c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9cbe1-fce3-4f42-b142-385e5c96a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341f135-892c-4ab9-a4a2-5cdb862e2abd"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51814d-996c-4eb1-a29d-985085e523c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3657e58-8938-48e1-8eea-83a84f4d4c62}" ma:internalName="TaxCatchAll" ma:showField="CatchAllData" ma:web="ac51814d-996c-4eb1-a29d-985085e523c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19cbe1-fce3-4f42-b142-385e5c96a4ad">
      <Terms xmlns="http://schemas.microsoft.com/office/infopath/2007/PartnerControls"/>
    </lcf76f155ced4ddcb4097134ff3c332f>
    <TaxCatchAll xmlns="ac51814d-996c-4eb1-a29d-985085e523c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F6495F-2824-4061-B8E4-5F8773E62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9cbe1-fce3-4f42-b142-385e5c96a4ad"/>
    <ds:schemaRef ds:uri="ac51814d-996c-4eb1-a29d-985085e52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2E0825-B735-433D-82A1-91BCDDD8C93A}">
  <ds:schemaRefs>
    <ds:schemaRef ds:uri="http://schemas.openxmlformats.org/officeDocument/2006/bibliography"/>
  </ds:schemaRefs>
</ds:datastoreItem>
</file>

<file path=customXml/itemProps3.xml><?xml version="1.0" encoding="utf-8"?>
<ds:datastoreItem xmlns:ds="http://schemas.openxmlformats.org/officeDocument/2006/customXml" ds:itemID="{BD79624E-7673-48A5-BE9D-D81EE045718B}">
  <ds:schemaRefs>
    <ds:schemaRef ds:uri="http://schemas.microsoft.com/office/2006/metadata/properties"/>
    <ds:schemaRef ds:uri="http://schemas.microsoft.com/office/infopath/2007/PartnerControls"/>
    <ds:schemaRef ds:uri="a119cbe1-fce3-4f42-b142-385e5c96a4ad"/>
    <ds:schemaRef ds:uri="ac51814d-996c-4eb1-a29d-985085e523c2"/>
  </ds:schemaRefs>
</ds:datastoreItem>
</file>

<file path=customXml/itemProps4.xml><?xml version="1.0" encoding="utf-8"?>
<ds:datastoreItem xmlns:ds="http://schemas.openxmlformats.org/officeDocument/2006/customXml" ds:itemID="{01DA7399-50D6-43D5-BB77-F0B3DDC374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AREF Clare Whyte</dc:creator>
  <cp:keywords/>
  <dc:description/>
  <cp:lastModifiedBy>Jacqui Bungay</cp:lastModifiedBy>
  <cp:revision>47</cp:revision>
  <dcterms:created xsi:type="dcterms:W3CDTF">2023-08-04T09:12:00Z</dcterms:created>
  <dcterms:modified xsi:type="dcterms:W3CDTF">2023-08-04T10:17:00Z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0x01010047AF5B1BC36BA344899C4CE12452F1A1</vt:lpwstr>
  </property>
  <property fmtid="{D5CDD505-2E9C-101B-9397-08002B2CF9AE}" pid="3" name="Order">
    <vt:r8>62800</vt:r8>
  </property>
  <property fmtid="{D5CDD505-2E9C-101B-9397-08002B2CF9AE}" pid="4" name="MediaServiceImageTags">
    <vt:lpwstr/>
  </property>
</Properties>
</file>